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52" w:rsidRPr="00F92C43" w:rsidRDefault="009E4752" w:rsidP="009E4752">
      <w:pPr>
        <w:jc w:val="center"/>
        <w:rPr>
          <w:b/>
        </w:rPr>
      </w:pPr>
      <w:r w:rsidRPr="00F92C43">
        <w:rPr>
          <w:b/>
        </w:rPr>
        <w:t xml:space="preserve">WATER QUALITY COMMITTEE </w:t>
      </w:r>
    </w:p>
    <w:p w:rsidR="009E4752" w:rsidRPr="00F92C43" w:rsidRDefault="009E4752" w:rsidP="009E4752">
      <w:pPr>
        <w:jc w:val="center"/>
        <w:rPr>
          <w:b/>
        </w:rPr>
      </w:pPr>
      <w:r w:rsidRPr="00F92C43">
        <w:rPr>
          <w:b/>
        </w:rPr>
        <w:t>WORK PLAN</w:t>
      </w:r>
    </w:p>
    <w:p w:rsidR="009E4752" w:rsidRPr="00F92C43" w:rsidRDefault="00913E2D" w:rsidP="009E4752">
      <w:pPr>
        <w:jc w:val="center"/>
        <w:rPr>
          <w:b/>
        </w:rPr>
      </w:pPr>
      <w:r w:rsidRPr="00F92C43">
        <w:rPr>
          <w:b/>
        </w:rPr>
        <w:t xml:space="preserve">July 1, </w:t>
      </w:r>
      <w:r w:rsidR="00752B0F" w:rsidRPr="00F92C43">
        <w:rPr>
          <w:b/>
        </w:rPr>
        <w:t>201</w:t>
      </w:r>
      <w:r w:rsidR="00752B0F">
        <w:rPr>
          <w:b/>
        </w:rPr>
        <w:t>4</w:t>
      </w:r>
      <w:r w:rsidR="00752B0F" w:rsidRPr="00F92C43">
        <w:rPr>
          <w:b/>
        </w:rPr>
        <w:t xml:space="preserve"> </w:t>
      </w:r>
      <w:r w:rsidRPr="00F92C43">
        <w:rPr>
          <w:b/>
        </w:rPr>
        <w:t xml:space="preserve">to June 30, </w:t>
      </w:r>
      <w:r w:rsidR="00752B0F" w:rsidRPr="00F92C43">
        <w:rPr>
          <w:b/>
        </w:rPr>
        <w:t>201</w:t>
      </w:r>
      <w:r w:rsidR="00752B0F">
        <w:rPr>
          <w:b/>
        </w:rPr>
        <w:t>5</w:t>
      </w:r>
    </w:p>
    <w:p w:rsidR="009B479A" w:rsidRDefault="009B479A" w:rsidP="007E7EC9">
      <w:pPr>
        <w:autoSpaceDE w:val="0"/>
        <w:autoSpaceDN w:val="0"/>
        <w:adjustRightInd w:val="0"/>
        <w:rPr>
          <w:b/>
        </w:rPr>
      </w:pPr>
    </w:p>
    <w:p w:rsidR="006F097D" w:rsidRPr="009B479A" w:rsidRDefault="006F097D" w:rsidP="007E7EC9">
      <w:pPr>
        <w:autoSpaceDE w:val="0"/>
        <w:autoSpaceDN w:val="0"/>
        <w:adjustRightInd w:val="0"/>
        <w:rPr>
          <w:b/>
          <w:u w:val="single"/>
        </w:rPr>
      </w:pPr>
      <w:r w:rsidRPr="00F448D9">
        <w:rPr>
          <w:b/>
        </w:rPr>
        <w:t>1.</w:t>
      </w:r>
      <w:r w:rsidRPr="00F448D9">
        <w:rPr>
          <w:b/>
        </w:rPr>
        <w:tab/>
      </w:r>
      <w:r w:rsidRPr="009B479A">
        <w:rPr>
          <w:b/>
          <w:u w:val="single"/>
        </w:rPr>
        <w:t>HYDRAULIC FRACTURING</w:t>
      </w:r>
    </w:p>
    <w:p w:rsidR="006F097D" w:rsidRDefault="006F097D" w:rsidP="007E7EC9">
      <w:pPr>
        <w:autoSpaceDE w:val="0"/>
        <w:autoSpaceDN w:val="0"/>
        <w:adjustRightInd w:val="0"/>
        <w:rPr>
          <w:b/>
        </w:rPr>
      </w:pPr>
    </w:p>
    <w:p w:rsidR="00F6608C" w:rsidRDefault="00186F35" w:rsidP="007E7EC9">
      <w:pPr>
        <w:autoSpaceDE w:val="0"/>
        <w:autoSpaceDN w:val="0"/>
        <w:adjustRightInd w:val="0"/>
        <w:rPr>
          <w:b/>
        </w:rPr>
      </w:pPr>
      <w:r>
        <w:rPr>
          <w:b/>
        </w:rPr>
        <w:t xml:space="preserve">Work-to-Date: </w:t>
      </w:r>
      <w:r w:rsidR="00F6608C">
        <w:t>The Environmental Protection Agency (EPA) is preparing a study on the relationship between hydraulic fracturing and drinking water, a final draft of which is expected in 2014.  In May 2013, the Bureau of Land Management (BLM) also issued a proposed rule for hydraulic fracturing on public lands</w:t>
      </w:r>
      <w:r w:rsidR="008163CB">
        <w:t>, which</w:t>
      </w:r>
      <w:r w:rsidR="00F6608C">
        <w:t xml:space="preserve"> includes a variance process that would allow states to propose their own standards if they can prove that their regulations meet or exceed the requirements in BLM’s rule.</w:t>
      </w:r>
      <w:r w:rsidR="008163CB">
        <w:t xml:space="preserve">  In addition, EPA, the Department of Energy (DOE), and the Department of the Interior (DOI) agreed in April 2012 to develop </w:t>
      </w:r>
      <w:r w:rsidR="00C1268B">
        <w:t xml:space="preserve">a </w:t>
      </w:r>
      <w:r w:rsidR="008163CB">
        <w:t xml:space="preserve">“Multi-Agency Unconventional Oil and Gas Research </w:t>
      </w:r>
      <w:r w:rsidR="00C1268B">
        <w:t>P</w:t>
      </w:r>
      <w:r w:rsidR="008163CB">
        <w:t>rogram</w:t>
      </w:r>
      <w:r w:rsidR="00C1268B">
        <w:t>”</w:t>
      </w:r>
      <w:r w:rsidR="008163CB">
        <w:t xml:space="preserve"> to support policy decision by relevant state and federal agencies.  The effort is intended to help support the White House’s March 2011 “Blueprint for a Secure Energy Future.”    </w:t>
      </w:r>
    </w:p>
    <w:p w:rsidR="008163CB" w:rsidRDefault="008163CB" w:rsidP="007E7EC9">
      <w:pPr>
        <w:autoSpaceDE w:val="0"/>
        <w:autoSpaceDN w:val="0"/>
        <w:adjustRightInd w:val="0"/>
        <w:rPr>
          <w:b/>
        </w:rPr>
      </w:pPr>
    </w:p>
    <w:p w:rsidR="00DC7BBD" w:rsidRPr="00186F35" w:rsidRDefault="00281DBD" w:rsidP="00245A68">
      <w:pPr>
        <w:autoSpaceDE w:val="0"/>
        <w:autoSpaceDN w:val="0"/>
        <w:adjustRightInd w:val="0"/>
      </w:pPr>
      <w:r>
        <w:t xml:space="preserve">The </w:t>
      </w:r>
      <w:r w:rsidR="00186F35" w:rsidRPr="009A1CFA">
        <w:t>W</w:t>
      </w:r>
      <w:r w:rsidR="00186F35">
        <w:t xml:space="preserve">estern Governors’ Association </w:t>
      </w:r>
      <w:r w:rsidR="00785911">
        <w:t>(</w:t>
      </w:r>
      <w:r w:rsidR="00186F35">
        <w:t xml:space="preserve">(WGA) </w:t>
      </w:r>
      <w:r w:rsidRPr="00F92C43">
        <w:t>Resolution #</w:t>
      </w:r>
      <w:r w:rsidR="00245A68">
        <w:t>2014-4</w:t>
      </w:r>
      <w:r w:rsidRPr="00F92C43">
        <w:t xml:space="preserve">) </w:t>
      </w:r>
      <w:r w:rsidR="00245A68">
        <w:t>and WSWC</w:t>
      </w:r>
      <w:r w:rsidR="003210A1">
        <w:t xml:space="preserve"> Position </w:t>
      </w:r>
      <w:r w:rsidR="007A0EFB">
        <w:t>#353</w:t>
      </w:r>
      <w:r w:rsidR="00C1268B">
        <w:t xml:space="preserve"> </w:t>
      </w:r>
      <w:r w:rsidR="00245A68">
        <w:t>state that</w:t>
      </w:r>
      <w:r w:rsidR="003210A1">
        <w:t>: (1) federal efforts involving hydraulic fracturing should leverage state knowledge, experience, policies, and regulations; (2) such efforts should be limited, based upon sound science, and driven by states; and (3)</w:t>
      </w:r>
      <w:r w:rsidR="00C1268B">
        <w:t xml:space="preserve"> that both organizations </w:t>
      </w:r>
      <w:r w:rsidR="003210A1">
        <w:t xml:space="preserve">oppose any and all efforts that would diminish the primary and exclusive authority of states over the allocation of water resources used in hydraulic fracturing.  </w:t>
      </w:r>
    </w:p>
    <w:p w:rsidR="00DC7BBD" w:rsidRDefault="00DC7BBD" w:rsidP="007E7EC9">
      <w:pPr>
        <w:autoSpaceDE w:val="0"/>
        <w:autoSpaceDN w:val="0"/>
        <w:adjustRightInd w:val="0"/>
        <w:rPr>
          <w:b/>
        </w:rPr>
      </w:pPr>
    </w:p>
    <w:p w:rsidR="00F6608C" w:rsidRDefault="00440F70" w:rsidP="007E7EC9">
      <w:pPr>
        <w:autoSpaceDE w:val="0"/>
        <w:autoSpaceDN w:val="0"/>
        <w:adjustRightInd w:val="0"/>
      </w:pPr>
      <w:r>
        <w:rPr>
          <w:b/>
        </w:rPr>
        <w:t>201</w:t>
      </w:r>
      <w:r w:rsidR="00245A68">
        <w:rPr>
          <w:b/>
        </w:rPr>
        <w:t>4</w:t>
      </w:r>
      <w:r>
        <w:rPr>
          <w:b/>
        </w:rPr>
        <w:t>-201</w:t>
      </w:r>
      <w:r w:rsidR="00245A68">
        <w:rPr>
          <w:b/>
        </w:rPr>
        <w:t>5</w:t>
      </w:r>
      <w:r>
        <w:rPr>
          <w:b/>
        </w:rPr>
        <w:t xml:space="preserve">:  </w:t>
      </w:r>
      <w:r w:rsidR="00027297" w:rsidRPr="00F92C43">
        <w:t xml:space="preserve">The Committee will work with the </w:t>
      </w:r>
      <w:r w:rsidR="00027297">
        <w:t xml:space="preserve">Water Resources and </w:t>
      </w:r>
      <w:r w:rsidR="00F6608C">
        <w:t>Legal</w:t>
      </w:r>
      <w:r w:rsidR="00027297">
        <w:t xml:space="preserve"> Committees</w:t>
      </w:r>
      <w:r w:rsidR="00027297" w:rsidRPr="00F92C43">
        <w:t xml:space="preserve"> to </w:t>
      </w:r>
      <w:r w:rsidR="00CD605D">
        <w:t>support the WGA and WSWC positions</w:t>
      </w:r>
      <w:r w:rsidR="009144F7">
        <w:t>,</w:t>
      </w:r>
      <w:r w:rsidR="00CD605D">
        <w:t xml:space="preserve"> and will continue to </w:t>
      </w:r>
      <w:r w:rsidR="00F6608C">
        <w:t>monitor</w:t>
      </w:r>
      <w:r w:rsidR="00027297" w:rsidRPr="00F92C43">
        <w:t xml:space="preserve"> </w:t>
      </w:r>
      <w:r w:rsidR="00F6608C">
        <w:t xml:space="preserve">and update the WSWC on developments involving hydraulic fracturing, including </w:t>
      </w:r>
      <w:r w:rsidR="008163CB">
        <w:t xml:space="preserve">but not limited to </w:t>
      </w:r>
      <w:r w:rsidR="00F6608C">
        <w:t>EPA’s study</w:t>
      </w:r>
      <w:r w:rsidR="008163CB">
        <w:t>,</w:t>
      </w:r>
      <w:r w:rsidR="00F6608C">
        <w:t xml:space="preserve"> BLM’s proposed rule</w:t>
      </w:r>
      <w:r w:rsidR="008163CB">
        <w:t>, and the EPA/DOE/DOI research program</w:t>
      </w:r>
      <w:r w:rsidR="00F6608C">
        <w:t xml:space="preserve">. </w:t>
      </w:r>
    </w:p>
    <w:p w:rsidR="00F6608C" w:rsidRDefault="00F6608C" w:rsidP="007E7EC9">
      <w:pPr>
        <w:autoSpaceDE w:val="0"/>
        <w:autoSpaceDN w:val="0"/>
        <w:adjustRightInd w:val="0"/>
      </w:pPr>
    </w:p>
    <w:p w:rsidR="006F097D" w:rsidRDefault="00FB708A" w:rsidP="00F6608C">
      <w:pPr>
        <w:autoSpaceDE w:val="0"/>
        <w:autoSpaceDN w:val="0"/>
        <w:adjustRightInd w:val="0"/>
      </w:pPr>
      <w:r>
        <w:t>T</w:t>
      </w:r>
      <w:r w:rsidR="00440F70">
        <w:t xml:space="preserve">he Committee will </w:t>
      </w:r>
      <w:r w:rsidR="00F6608C">
        <w:t>also</w:t>
      </w:r>
      <w:r>
        <w:t xml:space="preserve"> work in </w:t>
      </w:r>
      <w:r w:rsidR="00540CAC">
        <w:t>collaboration</w:t>
      </w:r>
      <w:r>
        <w:t xml:space="preserve"> with the Water Resources and Legal Committees to</w:t>
      </w:r>
      <w:r w:rsidR="00F6608C">
        <w:t xml:space="preserve"> </w:t>
      </w:r>
      <w:r w:rsidR="00440F70">
        <w:t>prepare a summary of the applicable WSWC states’ experiences with hydraulic fracturing</w:t>
      </w:r>
      <w:r w:rsidR="00B0772B">
        <w:t>.</w:t>
      </w:r>
      <w:r w:rsidR="00785911">
        <w:t xml:space="preserve">  The summary will comple</w:t>
      </w:r>
      <w:r w:rsidR="00664BC1">
        <w:t xml:space="preserve">ment previous reports by the Groundwater Protection Council and others that describe how state programmatic elements and regulations ensure that hydraulic fracturing does not impair water resources and environmental values.  </w:t>
      </w:r>
      <w:r w:rsidR="00B0772B">
        <w:t xml:space="preserve">Examples of the types of information sought for the summary include but are not limited to: (1) the impacts of hydraulic fracturing on water </w:t>
      </w:r>
      <w:r w:rsidR="00FB37AE">
        <w:t>quality</w:t>
      </w:r>
      <w:r w:rsidR="00B0772B">
        <w:t>, if any; (2) examples of how state regulations and other efforts protect water quality; (3) the economic ben</w:t>
      </w:r>
      <w:r w:rsidR="00664BC1">
        <w:t xml:space="preserve">efits of hydraulic fracturing; </w:t>
      </w:r>
      <w:r w:rsidR="00B0772B">
        <w:t xml:space="preserve">(4) </w:t>
      </w:r>
      <w:r w:rsidR="00540CAC">
        <w:t xml:space="preserve">water supplies </w:t>
      </w:r>
      <w:r w:rsidR="00B7067B">
        <w:t xml:space="preserve">and amounts used </w:t>
      </w:r>
      <w:r w:rsidR="00540CAC">
        <w:t>for hydraulic fracturing</w:t>
      </w:r>
      <w:r w:rsidR="00664BC1">
        <w:t>; (5) state interaction with federal agencies involving hydraulic fracturing</w:t>
      </w:r>
      <w:r w:rsidR="008163CB">
        <w:t>; and (6) the degree to which states utilize oil and gas taxes and other revenue related to hydraulic fracturing to fund water-related efforts, including but not limited to water planning, water management, and water regulation and protection</w:t>
      </w:r>
      <w:r w:rsidR="00B0772B">
        <w:t xml:space="preserve">.  </w:t>
      </w:r>
      <w:r w:rsidR="00177261">
        <w:t>WSWC staff will prepare the summary under the direction of the Committee</w:t>
      </w:r>
      <w:r w:rsidR="00540CAC">
        <w:t>s</w:t>
      </w:r>
      <w:r w:rsidR="00177261">
        <w:t xml:space="preserve">, and will </w:t>
      </w:r>
      <w:r w:rsidR="00177261" w:rsidRPr="007B294F">
        <w:t xml:space="preserve">gather the </w:t>
      </w:r>
      <w:r w:rsidR="00177261">
        <w:t>necessary information</w:t>
      </w:r>
      <w:r w:rsidR="00177261" w:rsidRPr="007B294F">
        <w:t xml:space="preserve"> through independent research and focused telephone interviews with select staff from the applicable WSWC state agencies.</w:t>
      </w:r>
      <w:r w:rsidR="00F448D9">
        <w:t xml:space="preserve">  WSWC staff will also coordinate with </w:t>
      </w:r>
      <w:r w:rsidR="001A689B">
        <w:t xml:space="preserve">other relevant state associations and organizations </w:t>
      </w:r>
      <w:r w:rsidR="00F448D9">
        <w:t>to avoid</w:t>
      </w:r>
      <w:r w:rsidR="001A689B">
        <w:t xml:space="preserve"> duplicating prior efforts</w:t>
      </w:r>
      <w:r w:rsidR="00F448D9">
        <w:t>.</w:t>
      </w:r>
      <w:r w:rsidR="00177261" w:rsidRPr="007B294F">
        <w:t xml:space="preserve">  It is envisioned that </w:t>
      </w:r>
      <w:r w:rsidR="00177261">
        <w:t xml:space="preserve">the </w:t>
      </w:r>
      <w:r w:rsidR="00B7067B">
        <w:t xml:space="preserve">full </w:t>
      </w:r>
      <w:r w:rsidR="00D41D9C">
        <w:t>WSWC</w:t>
      </w:r>
      <w:r w:rsidR="00177261">
        <w:t xml:space="preserve"> will review the summary</w:t>
      </w:r>
      <w:r w:rsidR="00177261" w:rsidRPr="007B294F">
        <w:t xml:space="preserve">.  </w:t>
      </w:r>
      <w:r w:rsidR="00177261">
        <w:t xml:space="preserve"> </w:t>
      </w:r>
      <w:bookmarkStart w:id="0" w:name="_GoBack"/>
      <w:bookmarkEnd w:id="0"/>
    </w:p>
    <w:p w:rsidR="00177261" w:rsidRDefault="00177261" w:rsidP="007E7EC9">
      <w:pPr>
        <w:autoSpaceDE w:val="0"/>
        <w:autoSpaceDN w:val="0"/>
        <w:adjustRightInd w:val="0"/>
      </w:pPr>
    </w:p>
    <w:p w:rsidR="00177261" w:rsidRDefault="00177261" w:rsidP="007E7EC9">
      <w:pPr>
        <w:autoSpaceDE w:val="0"/>
        <w:autoSpaceDN w:val="0"/>
        <w:adjustRightInd w:val="0"/>
      </w:pPr>
      <w:r>
        <w:rPr>
          <w:b/>
        </w:rPr>
        <w:t xml:space="preserve">Time Frame:  </w:t>
      </w:r>
      <w:r>
        <w:t xml:space="preserve">2014 </w:t>
      </w:r>
    </w:p>
    <w:p w:rsidR="00F448D9" w:rsidRPr="00177261" w:rsidRDefault="00F448D9" w:rsidP="007E7EC9">
      <w:pPr>
        <w:autoSpaceDE w:val="0"/>
        <w:autoSpaceDN w:val="0"/>
        <w:adjustRightInd w:val="0"/>
      </w:pPr>
    </w:p>
    <w:p w:rsidR="007E7EC9" w:rsidRPr="009B479A" w:rsidRDefault="006F097D" w:rsidP="007E7EC9">
      <w:pPr>
        <w:autoSpaceDE w:val="0"/>
        <w:autoSpaceDN w:val="0"/>
        <w:adjustRightInd w:val="0"/>
        <w:rPr>
          <w:u w:val="single"/>
        </w:rPr>
      </w:pPr>
      <w:r w:rsidRPr="00F448D9">
        <w:rPr>
          <w:b/>
        </w:rPr>
        <w:t>2</w:t>
      </w:r>
      <w:r w:rsidR="007E7EC9" w:rsidRPr="00F448D9">
        <w:rPr>
          <w:b/>
        </w:rPr>
        <w:t>.</w:t>
      </w:r>
      <w:r w:rsidR="007E7EC9" w:rsidRPr="00F448D9">
        <w:rPr>
          <w:b/>
        </w:rPr>
        <w:tab/>
      </w:r>
      <w:r w:rsidR="008F046F" w:rsidRPr="009B479A">
        <w:rPr>
          <w:b/>
          <w:u w:val="single"/>
        </w:rPr>
        <w:t>WATER QUALITY/QUANTITY NEXUS</w:t>
      </w:r>
    </w:p>
    <w:p w:rsidR="007E7EC9" w:rsidRDefault="007E7EC9" w:rsidP="007E7EC9">
      <w:pPr>
        <w:autoSpaceDE w:val="0"/>
        <w:autoSpaceDN w:val="0"/>
        <w:adjustRightInd w:val="0"/>
        <w:rPr>
          <w:u w:val="single"/>
        </w:rPr>
      </w:pPr>
    </w:p>
    <w:p w:rsidR="007E7EC9" w:rsidRPr="009A1CFA" w:rsidRDefault="007E7EC9" w:rsidP="001B4ACB">
      <w:pPr>
        <w:autoSpaceDE w:val="0"/>
        <w:autoSpaceDN w:val="0"/>
        <w:adjustRightInd w:val="0"/>
      </w:pPr>
      <w:r w:rsidRPr="009A1CFA">
        <w:rPr>
          <w:b/>
        </w:rPr>
        <w:t xml:space="preserve">Work-to-Date:  </w:t>
      </w:r>
      <w:r w:rsidRPr="009A1CFA">
        <w:t>Paragraph (B</w:t>
      </w:r>
      <w:proofErr w:type="gramStart"/>
      <w:r w:rsidRPr="009A1CFA">
        <w:t>)(</w:t>
      </w:r>
      <w:proofErr w:type="gramEnd"/>
      <w:r w:rsidR="001B4ACB">
        <w:t>3</w:t>
      </w:r>
      <w:r w:rsidRPr="009A1CFA">
        <w:t>) of</w:t>
      </w:r>
      <w:r w:rsidR="00186F35">
        <w:t xml:space="preserve"> </w:t>
      </w:r>
      <w:r w:rsidR="00E72FBB">
        <w:t>WGA Resolution #</w:t>
      </w:r>
      <w:r w:rsidR="001B4ACB">
        <w:t>2014-03</w:t>
      </w:r>
      <w:r w:rsidRPr="009A1CFA">
        <w:t xml:space="preserve"> state</w:t>
      </w:r>
      <w:r w:rsidR="001B4ACB">
        <w:t>s</w:t>
      </w:r>
      <w:r w:rsidRPr="009A1CFA">
        <w:t xml:space="preserve">: </w:t>
      </w:r>
      <w:r w:rsidR="001B4ACB">
        <w:t xml:space="preserve">“Western Governors believe solutions to water resource challenges require an </w:t>
      </w:r>
      <w:r w:rsidR="001B4ACB" w:rsidRPr="00E271E0">
        <w:rPr>
          <w:u w:val="single"/>
        </w:rPr>
        <w:t>integrated approach</w:t>
      </w:r>
      <w:r w:rsidR="001B4ACB">
        <w:t xml:space="preserve"> within states and with federal, tribal and local partners. Water resource planning should occur within a framework that preserves states’ authority to manage water through policies which recognize state law and the </w:t>
      </w:r>
      <w:r w:rsidR="001B4ACB" w:rsidRPr="00E271E0">
        <w:rPr>
          <w:u w:val="single"/>
        </w:rPr>
        <w:t>financial, environmental and social values</w:t>
      </w:r>
      <w:r w:rsidR="001B4ACB">
        <w:t xml:space="preserve"> of the water resource to citizens of the western states today and in the future.”  (</w:t>
      </w:r>
      <w:proofErr w:type="gramStart"/>
      <w:r w:rsidR="001B4ACB">
        <w:t>emphasis</w:t>
      </w:r>
      <w:proofErr w:type="gramEnd"/>
      <w:r w:rsidR="001B4ACB">
        <w:t xml:space="preserve"> added)</w:t>
      </w:r>
    </w:p>
    <w:p w:rsidR="007E7EC9" w:rsidRPr="009A1CFA" w:rsidRDefault="007E7EC9" w:rsidP="007E7EC9">
      <w:pPr>
        <w:autoSpaceDE w:val="0"/>
        <w:autoSpaceDN w:val="0"/>
        <w:adjustRightInd w:val="0"/>
      </w:pPr>
    </w:p>
    <w:p w:rsidR="006D152D" w:rsidRDefault="007E7EC9" w:rsidP="007E7EC9">
      <w:pPr>
        <w:autoSpaceDE w:val="0"/>
        <w:autoSpaceDN w:val="0"/>
        <w:adjustRightInd w:val="0"/>
      </w:pPr>
      <w:r w:rsidRPr="009A1CFA">
        <w:rPr>
          <w:b/>
        </w:rPr>
        <w:t>201</w:t>
      </w:r>
      <w:r w:rsidR="001B4ACB">
        <w:rPr>
          <w:b/>
        </w:rPr>
        <w:t>4</w:t>
      </w:r>
      <w:r w:rsidRPr="009A1CFA">
        <w:rPr>
          <w:b/>
        </w:rPr>
        <w:t>-201</w:t>
      </w:r>
      <w:r w:rsidR="001B4ACB">
        <w:rPr>
          <w:b/>
        </w:rPr>
        <w:t>5</w:t>
      </w:r>
      <w:r w:rsidRPr="009A1CFA">
        <w:rPr>
          <w:b/>
        </w:rPr>
        <w:t xml:space="preserve">:  </w:t>
      </w:r>
      <w:r w:rsidRPr="009A1CFA">
        <w:t xml:space="preserve">In conjunction with the Water Resources </w:t>
      </w:r>
      <w:r w:rsidR="006D152D">
        <w:t xml:space="preserve">and Legal </w:t>
      </w:r>
      <w:r w:rsidRPr="009A1CFA">
        <w:t>Committee</w:t>
      </w:r>
      <w:r w:rsidR="006D152D">
        <w:t>s</w:t>
      </w:r>
      <w:r w:rsidRPr="009A1CFA">
        <w:t>, the Committee will hold a</w:t>
      </w:r>
      <w:r w:rsidR="008D18C9">
        <w:t>n invitation only</w:t>
      </w:r>
      <w:r w:rsidRPr="009A1CFA">
        <w:t xml:space="preserve"> workshop to bring together </w:t>
      </w:r>
      <w:r w:rsidR="008D18C9">
        <w:t>state experts and other relevant stakeholders to discuss th</w:t>
      </w:r>
      <w:r w:rsidRPr="009A1CFA">
        <w:t>e interaction between water quality and quantity.</w:t>
      </w:r>
      <w:r w:rsidR="008D18C9">
        <w:t xml:space="preserve"> </w:t>
      </w:r>
      <w:r w:rsidR="006D152D">
        <w:t xml:space="preserve"> The purpose of the workshop will be to </w:t>
      </w:r>
      <w:r w:rsidR="006D152D" w:rsidRPr="009A1CFA">
        <w:t xml:space="preserve">produce findings and policy options for </w:t>
      </w:r>
      <w:r w:rsidR="00540CAC">
        <w:t xml:space="preserve">the WSWC </w:t>
      </w:r>
      <w:r w:rsidR="005143F1">
        <w:t xml:space="preserve">to consider as it </w:t>
      </w:r>
      <w:r w:rsidR="00C1268B">
        <w:t xml:space="preserve">supports </w:t>
      </w:r>
      <w:r w:rsidR="006D152D">
        <w:t>WGA Re</w:t>
      </w:r>
      <w:r w:rsidR="00540CAC">
        <w:t>solution #</w:t>
      </w:r>
      <w:r w:rsidR="001B4ACB">
        <w:t>2014-03</w:t>
      </w:r>
      <w:r w:rsidR="00540CAC">
        <w:t xml:space="preserve"> </w:t>
      </w:r>
      <w:r w:rsidR="006D152D">
        <w:t xml:space="preserve">by providing further insight on: (1) how state water quantity and quality regulations interact with each other; (2) </w:t>
      </w:r>
      <w:r w:rsidR="000B715B">
        <w:t>how states</w:t>
      </w:r>
      <w:r w:rsidR="006D152D">
        <w:t xml:space="preserve"> can protect water quality within the existing framework of the prior appropriation doctrine; and (3) </w:t>
      </w:r>
      <w:r w:rsidR="00580B5B">
        <w:t xml:space="preserve">the </w:t>
      </w:r>
      <w:r w:rsidR="00CD605D">
        <w:t>proper relationship between</w:t>
      </w:r>
      <w:r w:rsidR="00580B5B">
        <w:t xml:space="preserve"> federal environmental protections </w:t>
      </w:r>
      <w:r w:rsidR="00CD605D">
        <w:t>and</w:t>
      </w:r>
      <w:r w:rsidR="00580B5B">
        <w:t xml:space="preserve"> </w:t>
      </w:r>
      <w:r w:rsidR="00CD605D">
        <w:t xml:space="preserve">the </w:t>
      </w:r>
      <w:r w:rsidR="00580B5B">
        <w:t>state</w:t>
      </w:r>
      <w:r w:rsidR="00CD605D">
        <w:t>s</w:t>
      </w:r>
      <w:r w:rsidR="000B715B">
        <w:t>’</w:t>
      </w:r>
      <w:r w:rsidR="00580B5B">
        <w:t xml:space="preserve"> </w:t>
      </w:r>
      <w:r w:rsidR="00CD605D">
        <w:t>primary and exclusive authority over the allocation of water resources</w:t>
      </w:r>
      <w:r w:rsidR="00580B5B">
        <w:t>.</w:t>
      </w:r>
      <w:r w:rsidR="000B69F0">
        <w:t xml:space="preserve">  Under the WSWC’s direction, WSWC staff will prepare a summary of the meeting. </w:t>
      </w:r>
      <w:r w:rsidR="00580B5B">
        <w:t xml:space="preserve">   </w:t>
      </w:r>
    </w:p>
    <w:p w:rsidR="007E7EC9" w:rsidRPr="009A1CFA" w:rsidRDefault="007E7EC9" w:rsidP="007E7EC9">
      <w:pPr>
        <w:autoSpaceDE w:val="0"/>
        <w:autoSpaceDN w:val="0"/>
        <w:adjustRightInd w:val="0"/>
      </w:pPr>
    </w:p>
    <w:p w:rsidR="009F2CC2" w:rsidRDefault="007E7EC9" w:rsidP="007E7EC9">
      <w:pPr>
        <w:autoSpaceDE w:val="0"/>
        <w:autoSpaceDN w:val="0"/>
        <w:adjustRightInd w:val="0"/>
      </w:pPr>
      <w:r w:rsidRPr="009A1CFA">
        <w:rPr>
          <w:b/>
        </w:rPr>
        <w:t xml:space="preserve">Time Frame:  </w:t>
      </w:r>
      <w:r w:rsidR="00245A68">
        <w:t>2015</w:t>
      </w:r>
    </w:p>
    <w:p w:rsidR="007E7EC9" w:rsidRDefault="007E7EC9" w:rsidP="00056FA3">
      <w:pPr>
        <w:rPr>
          <w:b/>
        </w:rPr>
      </w:pPr>
    </w:p>
    <w:p w:rsidR="00791058" w:rsidRDefault="00791058" w:rsidP="00056FA3">
      <w:pPr>
        <w:rPr>
          <w:b/>
        </w:rPr>
      </w:pPr>
    </w:p>
    <w:p w:rsidR="007E7EC9" w:rsidRPr="009B479A" w:rsidRDefault="009F2CC2" w:rsidP="00056FA3">
      <w:pPr>
        <w:rPr>
          <w:u w:val="single"/>
        </w:rPr>
      </w:pPr>
      <w:r w:rsidRPr="00F448D9">
        <w:rPr>
          <w:b/>
        </w:rPr>
        <w:t>3</w:t>
      </w:r>
      <w:r w:rsidR="007E7EC9" w:rsidRPr="00F448D9">
        <w:rPr>
          <w:b/>
        </w:rPr>
        <w:t>.</w:t>
      </w:r>
      <w:r w:rsidR="007E7EC9" w:rsidRPr="00F448D9">
        <w:rPr>
          <w:b/>
        </w:rPr>
        <w:tab/>
      </w:r>
      <w:r w:rsidR="008B6958" w:rsidRPr="009B479A">
        <w:rPr>
          <w:b/>
          <w:u w:val="single"/>
        </w:rPr>
        <w:t>CLEAN WATER ACT ISSUES</w:t>
      </w:r>
    </w:p>
    <w:p w:rsidR="007E7EC9" w:rsidRDefault="007E7EC9" w:rsidP="00056FA3">
      <w:pPr>
        <w:rPr>
          <w:b/>
        </w:rPr>
      </w:pPr>
    </w:p>
    <w:p w:rsidR="007E7EC9" w:rsidRPr="004B3418" w:rsidRDefault="004B3418" w:rsidP="00056FA3">
      <w:r>
        <w:t xml:space="preserve">There are a number of ongoing </w:t>
      </w:r>
      <w:r w:rsidR="008B6958">
        <w:t>Clean Water Act (CWA)</w:t>
      </w:r>
      <w:r>
        <w:t xml:space="preserve"> issues that pertain to WSWC policies or are otherwise of interest that the Committee will monitor and address on an as needed basis.  These issues are listed below </w:t>
      </w:r>
      <w:r w:rsidR="009F2CC2">
        <w:t>in order</w:t>
      </w:r>
      <w:r w:rsidR="00667DC9">
        <w:t xml:space="preserve"> of priority</w:t>
      </w:r>
      <w:r>
        <w:t xml:space="preserve">.  </w:t>
      </w:r>
    </w:p>
    <w:p w:rsidR="00F92C43" w:rsidRPr="00F92C43" w:rsidRDefault="00F92C43" w:rsidP="00056FA3">
      <w:pPr>
        <w:rPr>
          <w:i/>
        </w:rPr>
      </w:pPr>
    </w:p>
    <w:p w:rsidR="00DA1F6F" w:rsidRDefault="007E7EC9" w:rsidP="007E7EC9">
      <w:pPr>
        <w:autoSpaceDE w:val="0"/>
        <w:autoSpaceDN w:val="0"/>
        <w:adjustRightInd w:val="0"/>
        <w:ind w:firstLine="720"/>
        <w:rPr>
          <w:b/>
        </w:rPr>
      </w:pPr>
      <w:r>
        <w:rPr>
          <w:b/>
        </w:rPr>
        <w:t>a</w:t>
      </w:r>
      <w:r w:rsidR="009D75E9" w:rsidRPr="00F92C43">
        <w:rPr>
          <w:b/>
        </w:rPr>
        <w:t>.</w:t>
      </w:r>
      <w:r w:rsidR="009D75E9" w:rsidRPr="00F92C43">
        <w:rPr>
          <w:b/>
        </w:rPr>
        <w:tab/>
      </w:r>
      <w:r w:rsidR="00AE10D4">
        <w:rPr>
          <w:b/>
          <w:u w:val="single"/>
        </w:rPr>
        <w:t>CWA</w:t>
      </w:r>
      <w:r w:rsidRPr="000F069B">
        <w:rPr>
          <w:b/>
          <w:u w:val="single"/>
        </w:rPr>
        <w:t xml:space="preserve"> Jurisdiction</w:t>
      </w:r>
      <w:r w:rsidR="00BD56A2" w:rsidRPr="007E7EC9">
        <w:rPr>
          <w:b/>
        </w:rPr>
        <w:t>*</w:t>
      </w:r>
      <w:r w:rsidR="00215ECB" w:rsidRPr="007E7EC9">
        <w:rPr>
          <w:b/>
        </w:rPr>
        <w:t xml:space="preserve"> </w:t>
      </w:r>
    </w:p>
    <w:p w:rsidR="00297227" w:rsidRPr="007E7EC9" w:rsidRDefault="00297227" w:rsidP="007E7EC9">
      <w:pPr>
        <w:autoSpaceDE w:val="0"/>
        <w:autoSpaceDN w:val="0"/>
        <w:adjustRightInd w:val="0"/>
        <w:ind w:firstLine="720"/>
        <w:rPr>
          <w:b/>
        </w:rPr>
      </w:pPr>
    </w:p>
    <w:p w:rsidR="009F6F4E" w:rsidRPr="009F5F64" w:rsidRDefault="009F6F4E" w:rsidP="009F6F4E">
      <w:pPr>
        <w:ind w:left="720"/>
      </w:pPr>
      <w:r w:rsidRPr="009F5F64">
        <w:rPr>
          <w:b/>
        </w:rPr>
        <w:t xml:space="preserve">Work-to-Date:  </w:t>
      </w:r>
      <w:r w:rsidRPr="009F5F64">
        <w:t xml:space="preserve">In 2011, the EPA and the U.S. Army Corps of Engineers released draft guidance intended to provide clearer, more predictable guidelines for determining which water bodies are subject to Clean Water Act (CWA) jurisdiction, consistent with the U.S. Supreme Court’s </w:t>
      </w:r>
      <w:r>
        <w:t xml:space="preserve">decisions in </w:t>
      </w:r>
      <w:r w:rsidRPr="009F5F64">
        <w:rPr>
          <w:i/>
          <w:iCs/>
        </w:rPr>
        <w:t>Solid Waste Agency of Northern Cook County v. U.S. Army Corps of Engineers</w:t>
      </w:r>
      <w:r w:rsidRPr="00A44CC1">
        <w:rPr>
          <w:iCs/>
        </w:rPr>
        <w:t xml:space="preserve">, </w:t>
      </w:r>
      <w:r w:rsidRPr="00A44CC1">
        <w:rPr>
          <w:shd w:val="clear" w:color="auto" w:fill="FFFFFF"/>
        </w:rPr>
        <w:t>531 U.S. 159 (2001),</w:t>
      </w:r>
      <w:r w:rsidRPr="009F5F64">
        <w:rPr>
          <w:i/>
          <w:iCs/>
        </w:rPr>
        <w:t xml:space="preserve"> </w:t>
      </w:r>
      <w:r w:rsidRPr="009F5F64">
        <w:t xml:space="preserve">and </w:t>
      </w:r>
      <w:proofErr w:type="spellStart"/>
      <w:r w:rsidRPr="009F5F64">
        <w:rPr>
          <w:i/>
          <w:iCs/>
        </w:rPr>
        <w:t>Rapanos</w:t>
      </w:r>
      <w:proofErr w:type="spellEnd"/>
      <w:r w:rsidRPr="009F5F64">
        <w:rPr>
          <w:i/>
          <w:iCs/>
        </w:rPr>
        <w:t xml:space="preserve"> v. United States</w:t>
      </w:r>
      <w:r w:rsidRPr="00A44CC1">
        <w:rPr>
          <w:iCs/>
        </w:rPr>
        <w:t xml:space="preserve">, </w:t>
      </w:r>
      <w:r w:rsidRPr="00A44CC1">
        <w:rPr>
          <w:rStyle w:val="apple-converted-space"/>
          <w:color w:val="252525"/>
          <w:shd w:val="clear" w:color="auto" w:fill="FFFFFF"/>
        </w:rPr>
        <w:t> </w:t>
      </w:r>
      <w:hyperlink r:id="rId9" w:tooltip="Case citation" w:history="1">
        <w:r w:rsidRPr="00A44CC1">
          <w:rPr>
            <w:rStyle w:val="Hyperlink"/>
            <w:color w:val="auto"/>
            <w:u w:val="none"/>
            <w:shd w:val="clear" w:color="auto" w:fill="FFFFFF"/>
          </w:rPr>
          <w:t>547 U.S. 715</w:t>
        </w:r>
      </w:hyperlink>
      <w:r w:rsidRPr="00A44CC1">
        <w:rPr>
          <w:rStyle w:val="apple-converted-space"/>
          <w:color w:val="252525"/>
          <w:shd w:val="clear" w:color="auto" w:fill="FFFFFF"/>
        </w:rPr>
        <w:t> </w:t>
      </w:r>
      <w:r w:rsidRPr="00A44CC1">
        <w:rPr>
          <w:color w:val="252525"/>
          <w:shd w:val="clear" w:color="auto" w:fill="FFFFFF"/>
        </w:rPr>
        <w:t>(2006)</w:t>
      </w:r>
      <w:r w:rsidRPr="00A44CC1">
        <w:t>.</w:t>
      </w:r>
      <w:r w:rsidRPr="009F5F64">
        <w:t xml:space="preserve">    </w:t>
      </w:r>
    </w:p>
    <w:p w:rsidR="009F6F4E" w:rsidRPr="009F5F64" w:rsidRDefault="009F6F4E" w:rsidP="009F6F4E"/>
    <w:p w:rsidR="009F6F4E" w:rsidRPr="009F5F64" w:rsidRDefault="009F6F4E" w:rsidP="009F6F4E">
      <w:pPr>
        <w:ind w:left="720"/>
      </w:pPr>
      <w:r w:rsidRPr="009F5F64">
        <w:t xml:space="preserve">In September 2013, the EPA and Corps withdrew the draft guidance.  At the same time, the agencies announced that they had submitted a draft rule to clarify CWA jurisdiction to the Office of Management and Budget (OMB) for interagency review.  In addition, EPA announced that its Science Advisory Board is developing a report on the connection between </w:t>
      </w:r>
      <w:r>
        <w:t xml:space="preserve">different </w:t>
      </w:r>
      <w:r w:rsidRPr="009F5F64">
        <w:t xml:space="preserve">bodies of water.  EPA released the report for public comment in </w:t>
      </w:r>
      <w:r w:rsidRPr="009F5F64">
        <w:lastRenderedPageBreak/>
        <w:t xml:space="preserve">September 2013, and has indicated that the final connectivity report will inform the final </w:t>
      </w:r>
      <w:r w:rsidR="00785911">
        <w:t>rule</w:t>
      </w:r>
      <w:r w:rsidRPr="009F5F64">
        <w:t>.</w:t>
      </w:r>
    </w:p>
    <w:p w:rsidR="009F6F4E" w:rsidRPr="009F5F64" w:rsidRDefault="009F6F4E" w:rsidP="009F6F4E"/>
    <w:p w:rsidR="009F6F4E" w:rsidRPr="009F5F64" w:rsidRDefault="009F6F4E" w:rsidP="009F6F4E">
      <w:pPr>
        <w:ind w:left="720"/>
      </w:pPr>
      <w:r w:rsidRPr="009F5F64">
        <w:t xml:space="preserve">In 2013, the WSWC wrote EPA and the Corps a series of five letters </w:t>
      </w:r>
      <w:r>
        <w:t xml:space="preserve">based on WSWC Position #330.5 </w:t>
      </w:r>
      <w:r w:rsidRPr="009F5F64">
        <w:t xml:space="preserve">to: (1) express concern about the agencies’ process in developing the rule; (2) urge them to engage in greater consultation with the states and to comply with the state consultation criteria of Executive Order 13132; and (3) to comment on the draft connectivity report.  </w:t>
      </w:r>
    </w:p>
    <w:p w:rsidR="009F6F4E" w:rsidRPr="009F5F64" w:rsidRDefault="009F6F4E" w:rsidP="009F6F4E"/>
    <w:p w:rsidR="009F6F4E" w:rsidRDefault="009F6F4E" w:rsidP="009F6F4E">
      <w:pPr>
        <w:ind w:left="720"/>
      </w:pPr>
      <w:r w:rsidRPr="009F5F64">
        <w:t>In addition, the WSWC created a CWA Rulemaking Workgroup to gather information on the WSWC member states’ perspectives regarding the rulemaking and to identify further areas of consensus among the western states regarding the rulemaking.</w:t>
      </w:r>
      <w:r>
        <w:t xml:space="preserve"> </w:t>
      </w:r>
      <w:r w:rsidRPr="009F5F64">
        <w:t xml:space="preserve"> In March 2014, the workgroup developed a letter that the WSWC sent to EPA and the Corps </w:t>
      </w:r>
      <w:r>
        <w:t xml:space="preserve">on March 10, </w:t>
      </w:r>
      <w:r w:rsidRPr="009F5F64">
        <w:t>setting forth a list of additional consensus comments on the rulemaking, including a list of waters and features that should be excluded from the rule’s definition of “waters of the U.S.”  The lette</w:t>
      </w:r>
      <w:r>
        <w:t xml:space="preserve">r also asked the agencies not to publish a proposed rule for public comment until the connectivity report is final.  The Western Governors’ Association (WGA) sent a subsequent letter on March 25, 2014, that cited the WSWC’s March 10 letter and urged the agencies to consult with the states individually and through the WGA before taking further action on the rulemaking.   </w:t>
      </w:r>
    </w:p>
    <w:p w:rsidR="009F6F4E" w:rsidRDefault="009F6F4E" w:rsidP="009F6F4E"/>
    <w:p w:rsidR="009F6F4E" w:rsidRPr="009F5F64" w:rsidRDefault="009F6F4E" w:rsidP="009F6F4E">
      <w:pPr>
        <w:ind w:left="720"/>
      </w:pPr>
      <w:r>
        <w:t>On April 21, 2014, EPA and the Corps published a proposed rule in the Federal Register with an initial 90-day public comment period that was later extended to October 20, 2014, following requests from the WGA and other organizations for an extension.</w:t>
      </w:r>
    </w:p>
    <w:p w:rsidR="009F6F4E" w:rsidRDefault="009F6F4E" w:rsidP="009F6F4E">
      <w:r w:rsidRPr="009F5F64">
        <w:t xml:space="preserve">  </w:t>
      </w:r>
    </w:p>
    <w:p w:rsidR="009F6F4E" w:rsidRPr="00BA5AB2" w:rsidRDefault="009F6F4E" w:rsidP="009F6F4E">
      <w:pPr>
        <w:ind w:left="720"/>
      </w:pPr>
      <w:r w:rsidRPr="00BA5AB2">
        <w:t>The WSWC adopted a resolution regarding CWA rulemaking efforts on July 18, 2014, during its summer meetings in Helena, Montana.  The resolution replaces WSWC Position #330.5</w:t>
      </w:r>
      <w:r>
        <w:t xml:space="preserve"> and is based on the WSWC’s letter regarding the rulemaking as well as letters and testimony from the WGA</w:t>
      </w:r>
      <w:r w:rsidRPr="00BA5AB2">
        <w:t xml:space="preserve">. </w:t>
      </w:r>
    </w:p>
    <w:p w:rsidR="00297227" w:rsidRDefault="00297227" w:rsidP="00AB563F">
      <w:pPr>
        <w:ind w:left="720"/>
      </w:pPr>
      <w:r>
        <w:t xml:space="preserve">  </w:t>
      </w:r>
    </w:p>
    <w:p w:rsidR="00297227" w:rsidRPr="00094F2F" w:rsidRDefault="00297227" w:rsidP="00AB563F">
      <w:pPr>
        <w:ind w:left="720"/>
      </w:pPr>
      <w:r w:rsidRPr="00094F2F">
        <w:rPr>
          <w:b/>
        </w:rPr>
        <w:t>201</w:t>
      </w:r>
      <w:r>
        <w:rPr>
          <w:b/>
        </w:rPr>
        <w:t>4</w:t>
      </w:r>
      <w:r w:rsidRPr="00094F2F">
        <w:rPr>
          <w:b/>
        </w:rPr>
        <w:t>-201</w:t>
      </w:r>
      <w:r>
        <w:rPr>
          <w:b/>
        </w:rPr>
        <w:t>5</w:t>
      </w:r>
      <w:r w:rsidRPr="00094F2F">
        <w:rPr>
          <w:b/>
        </w:rPr>
        <w:t xml:space="preserve">:  </w:t>
      </w:r>
      <w:r w:rsidRPr="00094F2F">
        <w:t xml:space="preserve">The Committee will continue to work with the Water Resources and </w:t>
      </w:r>
      <w:r w:rsidR="000320CA">
        <w:t>Legal</w:t>
      </w:r>
      <w:r w:rsidRPr="00094F2F">
        <w:t xml:space="preserve"> Committees </w:t>
      </w:r>
      <w:r>
        <w:t xml:space="preserve">through the Workgroup </w:t>
      </w:r>
      <w:r w:rsidRPr="00094F2F">
        <w:t xml:space="preserve">to follow and comment on the development </w:t>
      </w:r>
      <w:r>
        <w:t xml:space="preserve">of a jurisdictional rule </w:t>
      </w:r>
      <w:r w:rsidRPr="00094F2F">
        <w:t xml:space="preserve">and other federal actions regarding CWA jurisdiction in accordance with the </w:t>
      </w:r>
      <w:r>
        <w:t>WSWC’s positions</w:t>
      </w:r>
      <w:r w:rsidRPr="00094F2F">
        <w:t>.</w:t>
      </w:r>
      <w:r>
        <w:t xml:space="preserve">    </w:t>
      </w:r>
    </w:p>
    <w:p w:rsidR="00297227" w:rsidRPr="00094F2F" w:rsidRDefault="00297227" w:rsidP="00AB563F">
      <w:pPr>
        <w:ind w:left="720"/>
      </w:pPr>
    </w:p>
    <w:p w:rsidR="00297227" w:rsidRPr="00094F2F" w:rsidRDefault="00297227" w:rsidP="00AB563F">
      <w:pPr>
        <w:ind w:left="720"/>
      </w:pPr>
      <w:r w:rsidRPr="00094F2F">
        <w:rPr>
          <w:b/>
        </w:rPr>
        <w:t xml:space="preserve">Time Frame:  </w:t>
      </w:r>
      <w:r w:rsidRPr="00094F2F">
        <w:t xml:space="preserve">Ongoing  </w:t>
      </w:r>
    </w:p>
    <w:p w:rsidR="00297227" w:rsidRDefault="00297227" w:rsidP="00AB563F">
      <w:pPr>
        <w:ind w:left="720"/>
      </w:pPr>
    </w:p>
    <w:p w:rsidR="00C1460E" w:rsidRPr="00C1460E" w:rsidRDefault="00C1460E" w:rsidP="00AB563F">
      <w:pPr>
        <w:ind w:left="720"/>
      </w:pPr>
      <w:r w:rsidRPr="00E271E0">
        <w:t>CWA Rulemaking Workgroup</w:t>
      </w:r>
      <w:r>
        <w:t xml:space="preserve">: Michelle Hale (AK), Mike Fulton (AZ), Trisha </w:t>
      </w:r>
      <w:proofErr w:type="spellStart"/>
      <w:r>
        <w:t>Oeth</w:t>
      </w:r>
      <w:proofErr w:type="spellEnd"/>
      <w:r>
        <w:t xml:space="preserve"> (CO), Barry </w:t>
      </w:r>
      <w:proofErr w:type="spellStart"/>
      <w:r>
        <w:t>Burnell</w:t>
      </w:r>
      <w:proofErr w:type="spellEnd"/>
      <w:r>
        <w:t xml:space="preserve"> (ID), Tom Stiles (KS), Jon Patch (ND), Bill </w:t>
      </w:r>
      <w:proofErr w:type="spellStart"/>
      <w:r>
        <w:t>Schuh</w:t>
      </w:r>
      <w:proofErr w:type="spellEnd"/>
      <w:r>
        <w:t xml:space="preserve"> (ND), J.D. Strong (OK), Todd Chenoweth (TX), Walt Baker (UT), Laura Driscoll (WA), Stephen </w:t>
      </w:r>
      <w:proofErr w:type="spellStart"/>
      <w:r>
        <w:t>Bernath</w:t>
      </w:r>
      <w:proofErr w:type="spellEnd"/>
      <w:r>
        <w:t xml:space="preserve"> (WA), and </w:t>
      </w:r>
      <w:r w:rsidRPr="00903EB0">
        <w:rPr>
          <w:color w:val="222222"/>
          <w:shd w:val="clear" w:color="auto" w:fill="FFFFFF"/>
        </w:rPr>
        <w:t xml:space="preserve">Bill </w:t>
      </w:r>
      <w:proofErr w:type="spellStart"/>
      <w:r w:rsidRPr="00903EB0">
        <w:rPr>
          <w:color w:val="222222"/>
          <w:shd w:val="clear" w:color="auto" w:fill="FFFFFF"/>
        </w:rPr>
        <w:t>DiRienzo</w:t>
      </w:r>
      <w:proofErr w:type="spellEnd"/>
      <w:r>
        <w:rPr>
          <w:color w:val="222222"/>
          <w:shd w:val="clear" w:color="auto" w:fill="FFFFFF"/>
        </w:rPr>
        <w:t xml:space="preserve"> (WY).</w:t>
      </w:r>
    </w:p>
    <w:p w:rsidR="00C1460E" w:rsidRPr="00C31962" w:rsidRDefault="00C1460E" w:rsidP="00AB563F">
      <w:pPr>
        <w:ind w:left="720"/>
      </w:pPr>
    </w:p>
    <w:p w:rsidR="00297227" w:rsidRDefault="00297227" w:rsidP="00AB563F">
      <w:pPr>
        <w:tabs>
          <w:tab w:val="left" w:pos="720"/>
        </w:tabs>
        <w:ind w:left="720"/>
      </w:pPr>
      <w:r w:rsidRPr="00F33436">
        <w:t xml:space="preserve">*See </w:t>
      </w:r>
      <w:r w:rsidR="00995C4D">
        <w:t>Item 2</w:t>
      </w:r>
      <w:r>
        <w:t xml:space="preserve"> of the </w:t>
      </w:r>
      <w:r w:rsidR="00995C4D">
        <w:t>Legal</w:t>
      </w:r>
      <w:r w:rsidRPr="00F33436">
        <w:t xml:space="preserve"> Committee </w:t>
      </w:r>
      <w:proofErr w:type="spellStart"/>
      <w:r w:rsidRPr="00F33436">
        <w:t>Workplan</w:t>
      </w:r>
      <w:proofErr w:type="spellEnd"/>
    </w:p>
    <w:p w:rsidR="00750771" w:rsidRPr="00F92C43" w:rsidRDefault="00750771" w:rsidP="009D75E9">
      <w:pPr>
        <w:ind w:left="720" w:hanging="720"/>
        <w:rPr>
          <w:b/>
          <w:u w:val="single"/>
        </w:rPr>
      </w:pPr>
    </w:p>
    <w:p w:rsidR="00791058" w:rsidRDefault="00791058" w:rsidP="0009581B">
      <w:pPr>
        <w:autoSpaceDE w:val="0"/>
        <w:autoSpaceDN w:val="0"/>
        <w:adjustRightInd w:val="0"/>
        <w:ind w:firstLine="720"/>
        <w:rPr>
          <w:b/>
        </w:rPr>
      </w:pPr>
    </w:p>
    <w:p w:rsidR="0009581B" w:rsidRPr="009F2CC2" w:rsidRDefault="0009581B" w:rsidP="0009581B">
      <w:pPr>
        <w:autoSpaceDE w:val="0"/>
        <w:autoSpaceDN w:val="0"/>
        <w:adjustRightInd w:val="0"/>
        <w:ind w:firstLine="720"/>
        <w:rPr>
          <w:b/>
        </w:rPr>
      </w:pPr>
      <w:r>
        <w:rPr>
          <w:b/>
        </w:rPr>
        <w:t>b.</w:t>
      </w:r>
      <w:r>
        <w:rPr>
          <w:b/>
        </w:rPr>
        <w:tab/>
      </w:r>
      <w:r w:rsidRPr="000F069B">
        <w:rPr>
          <w:b/>
          <w:u w:val="single"/>
        </w:rPr>
        <w:t xml:space="preserve">State Revolving Funds </w:t>
      </w:r>
      <w:r>
        <w:rPr>
          <w:b/>
          <w:u w:val="single"/>
        </w:rPr>
        <w:t xml:space="preserve">(SRFs) </w:t>
      </w:r>
      <w:r w:rsidRPr="000F069B">
        <w:rPr>
          <w:b/>
          <w:u w:val="single"/>
        </w:rPr>
        <w:t>and Infrastructure Financing</w:t>
      </w:r>
      <w:r>
        <w:rPr>
          <w:b/>
        </w:rPr>
        <w:t xml:space="preserve"> </w:t>
      </w:r>
    </w:p>
    <w:p w:rsidR="0009581B" w:rsidRDefault="0009581B" w:rsidP="0009581B">
      <w:pPr>
        <w:autoSpaceDE w:val="0"/>
        <w:autoSpaceDN w:val="0"/>
        <w:adjustRightInd w:val="0"/>
        <w:rPr>
          <w:b/>
        </w:rPr>
      </w:pPr>
    </w:p>
    <w:p w:rsidR="0009581B" w:rsidRDefault="0009581B" w:rsidP="0009581B">
      <w:pPr>
        <w:autoSpaceDE w:val="0"/>
        <w:autoSpaceDN w:val="0"/>
        <w:adjustRightInd w:val="0"/>
        <w:ind w:left="720"/>
      </w:pPr>
      <w:r>
        <w:rPr>
          <w:b/>
        </w:rPr>
        <w:t xml:space="preserve">Work-to-Date: </w:t>
      </w:r>
      <w:r>
        <w:t>WSWC Position #</w:t>
      </w:r>
      <w:r w:rsidR="00F448D9">
        <w:t>364</w:t>
      </w:r>
      <w:r w:rsidR="00122C17">
        <w:t xml:space="preserve"> </w:t>
      </w:r>
      <w:r>
        <w:t>urge</w:t>
      </w:r>
      <w:r w:rsidR="00995C4D">
        <w:t>s</w:t>
      </w:r>
      <w:r>
        <w:t xml:space="preserve"> the Administration and Congress </w:t>
      </w:r>
      <w:r w:rsidR="00122C17">
        <w:t>to</w:t>
      </w:r>
      <w:r>
        <w:t xml:space="preserve"> provide greater flexibility and fewer restrictions on state SRF management</w:t>
      </w:r>
      <w:r w:rsidR="00242804">
        <w:t xml:space="preserve"> and stable and continuing appropriations to the SRF capitalization grants at funding levels that are adequate to help states address their water infrastructure needs.</w:t>
      </w:r>
      <w:r w:rsidR="00903EB0">
        <w:t xml:space="preserve">  WGA resolution 2014-04 also supports the SRFs as “important tools” and requests greater flexibility and fewer restrictions on state SRF management. </w:t>
      </w:r>
    </w:p>
    <w:p w:rsidR="00995C4D" w:rsidRDefault="00995C4D" w:rsidP="0009581B">
      <w:pPr>
        <w:autoSpaceDE w:val="0"/>
        <w:autoSpaceDN w:val="0"/>
        <w:adjustRightInd w:val="0"/>
        <w:ind w:left="720"/>
      </w:pPr>
    </w:p>
    <w:p w:rsidR="00995C4D" w:rsidRDefault="00242804" w:rsidP="00242804">
      <w:pPr>
        <w:autoSpaceDE w:val="0"/>
        <w:autoSpaceDN w:val="0"/>
        <w:adjustRightInd w:val="0"/>
        <w:ind w:left="720"/>
      </w:pPr>
      <w:r>
        <w:t xml:space="preserve">In January 2014, Congress passed an omnibus appropriations bill (H.R. 3547) to fund the federal government through FY 2014.  </w:t>
      </w:r>
      <w:r w:rsidR="00903EB0">
        <w:t>A</w:t>
      </w:r>
      <w:r w:rsidR="00995C4D">
        <w:t xml:space="preserve">ppropriations </w:t>
      </w:r>
      <w:r>
        <w:t>for the Clean Water SRF total $1.45B, a $73M increase</w:t>
      </w:r>
      <w:r w:rsidR="00903EB0">
        <w:t>, while t</w:t>
      </w:r>
      <w:r>
        <w:t>he Drinking Water SRF will receive $907M, a $46M increase.</w:t>
      </w:r>
      <w:r w:rsidR="00785911">
        <w:t xml:space="preserve"> </w:t>
      </w:r>
      <w:r>
        <w:t xml:space="preserve"> H.R. 3547 </w:t>
      </w:r>
      <w:r w:rsidR="00D076DD">
        <w:t xml:space="preserve">also </w:t>
      </w:r>
      <w:r>
        <w:t xml:space="preserve">enacted </w:t>
      </w:r>
      <w:r w:rsidR="00D076DD">
        <w:t xml:space="preserve">or retained </w:t>
      </w:r>
      <w:r>
        <w:t>a number of limitations on the use of SRF funds, including but not limited to: (1) “</w:t>
      </w:r>
      <w:r w:rsidR="00995C4D">
        <w:t>Buy American”</w:t>
      </w:r>
      <w:r>
        <w:t xml:space="preserve"> provisions for iron and steel; (2) requirements that between 20% and 30% of SRF funds be used for principal forgiveness, negative interest loans, or grants subject to additional provisions; and (3) requirements that</w:t>
      </w:r>
      <w:r w:rsidR="00995C4D">
        <w:t xml:space="preserve"> states use at least 10% of their SRF funds for green infrastructure, water or energy efficiency improvements, or other “environmentally innovative” activities.</w:t>
      </w:r>
    </w:p>
    <w:p w:rsidR="00242804" w:rsidRDefault="00242804" w:rsidP="00242804">
      <w:pPr>
        <w:autoSpaceDE w:val="0"/>
        <w:autoSpaceDN w:val="0"/>
        <w:adjustRightInd w:val="0"/>
        <w:ind w:left="720"/>
      </w:pPr>
    </w:p>
    <w:p w:rsidR="00242804" w:rsidRDefault="00242804" w:rsidP="00242804">
      <w:pPr>
        <w:autoSpaceDE w:val="0"/>
        <w:autoSpaceDN w:val="0"/>
        <w:adjustRightInd w:val="0"/>
        <w:ind w:left="720"/>
      </w:pPr>
      <w:r>
        <w:t xml:space="preserve">For FY 2015, the President’s budget request seeks </w:t>
      </w:r>
      <w:r w:rsidR="00903EB0">
        <w:t>around</w:t>
      </w:r>
      <w:r>
        <w:t xml:space="preserve"> $1B for the Clean Water SRF, a cut of about $431M from current levels.  The request also seeks $757</w:t>
      </w:r>
      <w:r w:rsidR="00D076DD">
        <w:t>M for the Drinking Water SRF, a reduction of $150M.</w:t>
      </w:r>
    </w:p>
    <w:p w:rsidR="00995C4D" w:rsidRDefault="00242804" w:rsidP="0009581B">
      <w:pPr>
        <w:autoSpaceDE w:val="0"/>
        <w:autoSpaceDN w:val="0"/>
        <w:adjustRightInd w:val="0"/>
        <w:ind w:left="720"/>
      </w:pPr>
      <w:r>
        <w:t xml:space="preserve"> </w:t>
      </w:r>
    </w:p>
    <w:p w:rsidR="0009581B" w:rsidRDefault="0009581B" w:rsidP="0009581B">
      <w:pPr>
        <w:autoSpaceDE w:val="0"/>
        <w:autoSpaceDN w:val="0"/>
        <w:adjustRightInd w:val="0"/>
        <w:ind w:left="720"/>
      </w:pPr>
      <w:r>
        <w:rPr>
          <w:b/>
        </w:rPr>
        <w:t>201</w:t>
      </w:r>
      <w:r w:rsidR="00AB563F">
        <w:rPr>
          <w:b/>
        </w:rPr>
        <w:t>4</w:t>
      </w:r>
      <w:r>
        <w:rPr>
          <w:b/>
        </w:rPr>
        <w:t>-</w:t>
      </w:r>
      <w:r w:rsidR="00AB563F">
        <w:rPr>
          <w:b/>
        </w:rPr>
        <w:t>2015</w:t>
      </w:r>
      <w:r>
        <w:rPr>
          <w:b/>
        </w:rPr>
        <w:t xml:space="preserve">:  </w:t>
      </w:r>
      <w:r>
        <w:t xml:space="preserve">The Committee will </w:t>
      </w:r>
      <w:r w:rsidR="004600E8">
        <w:t>support</w:t>
      </w:r>
      <w:r>
        <w:t xml:space="preserve"> </w:t>
      </w:r>
      <w:r w:rsidR="00C829A2">
        <w:t>the WGA and WSWC positions</w:t>
      </w:r>
      <w:r>
        <w:t>.  In particular, WSWC staff will continue to update the Committee on developments within Congress and the Administration that have the potential to impact the SRFs.  As needed, Committee members and WSWC staff will also meet with the Administration and Congress to further the objectives of the WGA</w:t>
      </w:r>
      <w:r w:rsidR="00903EB0">
        <w:t xml:space="preserve"> and </w:t>
      </w:r>
      <w:r>
        <w:t>WSWC position</w:t>
      </w:r>
      <w:r w:rsidR="00903EB0">
        <w:t>s</w:t>
      </w:r>
      <w:r>
        <w:t xml:space="preserve">. </w:t>
      </w:r>
    </w:p>
    <w:p w:rsidR="0009581B" w:rsidRDefault="0009581B" w:rsidP="0009581B">
      <w:pPr>
        <w:autoSpaceDE w:val="0"/>
        <w:autoSpaceDN w:val="0"/>
        <w:adjustRightInd w:val="0"/>
        <w:ind w:left="720"/>
      </w:pPr>
    </w:p>
    <w:p w:rsidR="0009581B" w:rsidRDefault="0009581B" w:rsidP="0009581B">
      <w:pPr>
        <w:autoSpaceDE w:val="0"/>
        <w:autoSpaceDN w:val="0"/>
        <w:adjustRightInd w:val="0"/>
        <w:ind w:left="720"/>
      </w:pPr>
      <w:r>
        <w:rPr>
          <w:b/>
        </w:rPr>
        <w:t xml:space="preserve">Time Frame:  </w:t>
      </w:r>
      <w:r>
        <w:t xml:space="preserve">Ongoing </w:t>
      </w:r>
    </w:p>
    <w:p w:rsidR="0009581B" w:rsidRDefault="0009581B" w:rsidP="006E100E">
      <w:pPr>
        <w:autoSpaceDE w:val="0"/>
        <w:autoSpaceDN w:val="0"/>
        <w:adjustRightInd w:val="0"/>
      </w:pPr>
    </w:p>
    <w:p w:rsidR="00791058" w:rsidRDefault="004B3418" w:rsidP="00933427">
      <w:pPr>
        <w:autoSpaceDE w:val="0"/>
        <w:autoSpaceDN w:val="0"/>
        <w:adjustRightInd w:val="0"/>
      </w:pPr>
      <w:r>
        <w:tab/>
      </w:r>
    </w:p>
    <w:p w:rsidR="00933427" w:rsidRPr="004B3418" w:rsidRDefault="0009581B" w:rsidP="00791058">
      <w:pPr>
        <w:autoSpaceDE w:val="0"/>
        <w:autoSpaceDN w:val="0"/>
        <w:adjustRightInd w:val="0"/>
        <w:ind w:firstLine="720"/>
        <w:rPr>
          <w:b/>
        </w:rPr>
      </w:pPr>
      <w:r>
        <w:rPr>
          <w:b/>
        </w:rPr>
        <w:t>c</w:t>
      </w:r>
      <w:r w:rsidR="004B3418">
        <w:rPr>
          <w:b/>
        </w:rPr>
        <w:t>.</w:t>
      </w:r>
      <w:r w:rsidR="004B3418">
        <w:rPr>
          <w:b/>
        </w:rPr>
        <w:tab/>
      </w:r>
      <w:r w:rsidR="004B3418" w:rsidRPr="000F069B">
        <w:rPr>
          <w:b/>
          <w:u w:val="single"/>
        </w:rPr>
        <w:t>EPA</w:t>
      </w:r>
      <w:r w:rsidR="000F069B">
        <w:rPr>
          <w:b/>
          <w:u w:val="single"/>
        </w:rPr>
        <w:t>’s</w:t>
      </w:r>
      <w:r w:rsidR="004B3418" w:rsidRPr="000F069B">
        <w:rPr>
          <w:b/>
          <w:u w:val="single"/>
        </w:rPr>
        <w:t xml:space="preserve"> Water Transfers Rule</w:t>
      </w:r>
    </w:p>
    <w:p w:rsidR="004B3418" w:rsidRPr="004B3418" w:rsidRDefault="004B3418" w:rsidP="00933427">
      <w:pPr>
        <w:autoSpaceDE w:val="0"/>
        <w:autoSpaceDN w:val="0"/>
        <w:adjustRightInd w:val="0"/>
        <w:rPr>
          <w:u w:val="single"/>
        </w:rPr>
      </w:pPr>
    </w:p>
    <w:p w:rsidR="0004021B" w:rsidRPr="00F92C43" w:rsidRDefault="00DF5B4D" w:rsidP="004B3418">
      <w:pPr>
        <w:autoSpaceDE w:val="0"/>
        <w:autoSpaceDN w:val="0"/>
        <w:adjustRightInd w:val="0"/>
        <w:ind w:left="720"/>
      </w:pPr>
      <w:r w:rsidRPr="00F92C43">
        <w:rPr>
          <w:b/>
        </w:rPr>
        <w:t xml:space="preserve">Work-to-Date:  </w:t>
      </w:r>
      <w:r w:rsidR="00E72FBB" w:rsidRPr="00953E9E">
        <w:t>Paragraph B(</w:t>
      </w:r>
      <w:r w:rsidR="00953E9E" w:rsidRPr="00953E9E">
        <w:t>2</w:t>
      </w:r>
      <w:r w:rsidR="00E72FBB" w:rsidRPr="00953E9E">
        <w:t>)</w:t>
      </w:r>
      <w:r w:rsidR="00953E9E">
        <w:t>(c</w:t>
      </w:r>
      <w:r w:rsidR="00953E9E" w:rsidRPr="00953E9E">
        <w:t>)</w:t>
      </w:r>
      <w:r w:rsidR="00E72FBB" w:rsidRPr="00953E9E">
        <w:t xml:space="preserve"> of </w:t>
      </w:r>
      <w:r w:rsidR="00221385" w:rsidRPr="00953E9E">
        <w:t>WGA Resolution #</w:t>
      </w:r>
      <w:r w:rsidR="00953E9E">
        <w:t>2014-04</w:t>
      </w:r>
      <w:r w:rsidR="00221385">
        <w:t xml:space="preserve"> and </w:t>
      </w:r>
      <w:r w:rsidR="0004021B" w:rsidRPr="00F92C43">
        <w:t>WSWC Position #316</w:t>
      </w:r>
      <w:r w:rsidR="0004021B">
        <w:t xml:space="preserve"> generally support EPA’s </w:t>
      </w:r>
      <w:r w:rsidR="00221385">
        <w:t>Water Transfers R</w:t>
      </w:r>
      <w:r w:rsidR="0004021B">
        <w:t xml:space="preserve">ule </w:t>
      </w:r>
      <w:r w:rsidR="00933427" w:rsidRPr="00F92C43">
        <w:t>(940 C.F.R. § 122.3(</w:t>
      </w:r>
      <w:proofErr w:type="spellStart"/>
      <w:r w:rsidR="00933427" w:rsidRPr="00F92C43">
        <w:t>i</w:t>
      </w:r>
      <w:proofErr w:type="spellEnd"/>
      <w:r w:rsidR="00933427" w:rsidRPr="00F92C43">
        <w:t>))</w:t>
      </w:r>
      <w:r w:rsidR="0004021B">
        <w:t>, which</w:t>
      </w:r>
      <w:r w:rsidR="00933427" w:rsidRPr="00F92C43">
        <w:t xml:space="preserve"> clarif</w:t>
      </w:r>
      <w:r w:rsidR="0004021B">
        <w:t>ies</w:t>
      </w:r>
      <w:r w:rsidR="00933427" w:rsidRPr="00F92C43">
        <w:t xml:space="preserve"> that water transfers </w:t>
      </w:r>
      <w:r w:rsidR="0054362B">
        <w:t xml:space="preserve">from one “navigable” water to another </w:t>
      </w:r>
      <w:r w:rsidR="00933427" w:rsidRPr="00F92C43">
        <w:t xml:space="preserve">are exempt from </w:t>
      </w:r>
      <w:r w:rsidR="00DD270D">
        <w:t xml:space="preserve">National Pollutant Discharge Elimination System (NPDES) </w:t>
      </w:r>
      <w:r w:rsidR="00933427" w:rsidRPr="00F92C43">
        <w:t xml:space="preserve">permitting under </w:t>
      </w:r>
      <w:r w:rsidR="005237D1">
        <w:t>S</w:t>
      </w:r>
      <w:r w:rsidR="00933427" w:rsidRPr="00F92C43">
        <w:t xml:space="preserve">ection 402 of the CWA.  The rule states that transfers do not require NPDES permits if they do not add pollutants and </w:t>
      </w:r>
      <w:r w:rsidR="00221385">
        <w:t xml:space="preserve">if </w:t>
      </w:r>
      <w:r w:rsidR="00933427" w:rsidRPr="00F92C43">
        <w:t>there is no intervening municipal, industrial, or commercial use between the diversion and the discharge of the transferred water</w:t>
      </w:r>
      <w:r w:rsidR="00221385">
        <w:t>.</w:t>
      </w:r>
      <w:r w:rsidR="0004021B" w:rsidRPr="00F92C43">
        <w:t xml:space="preserve"> </w:t>
      </w:r>
    </w:p>
    <w:p w:rsidR="0004021B" w:rsidRPr="00F92C43" w:rsidRDefault="0004021B" w:rsidP="004B3418">
      <w:pPr>
        <w:autoSpaceDE w:val="0"/>
        <w:autoSpaceDN w:val="0"/>
        <w:adjustRightInd w:val="0"/>
        <w:ind w:left="720"/>
      </w:pPr>
    </w:p>
    <w:p w:rsidR="00E05D99" w:rsidRDefault="00F448D9" w:rsidP="004B3418">
      <w:pPr>
        <w:widowControl w:val="0"/>
        <w:kinsoku w:val="0"/>
        <w:ind w:left="720"/>
      </w:pPr>
      <w:r>
        <w:t xml:space="preserve">On March 28, 2014, the </w:t>
      </w:r>
      <w:r w:rsidR="00FB530A">
        <w:t>U.S. District Court for the Southern District Court of New York</w:t>
      </w:r>
      <w:r w:rsidR="00F82924">
        <w:t xml:space="preserve"> (SDNY)</w:t>
      </w:r>
      <w:r>
        <w:t xml:space="preserve"> vacated the rule</w:t>
      </w:r>
      <w:r w:rsidR="00785911">
        <w:t xml:space="preserve"> in </w:t>
      </w:r>
      <w:r w:rsidR="00785911">
        <w:rPr>
          <w:i/>
        </w:rPr>
        <w:t>Catskills Mountain Chapter of Trout Unlimited v. EPA (Catskills II)</w:t>
      </w:r>
      <w:r w:rsidR="00785911">
        <w:t xml:space="preserve">, </w:t>
      </w:r>
      <w:r w:rsidR="004B2886">
        <w:t>2014 U.S. Dist. LEXIS 42545 (S.D.N.Y., March 2014)</w:t>
      </w:r>
      <w:r>
        <w:t xml:space="preserve">.  Among other things, </w:t>
      </w:r>
      <w:r w:rsidR="00A909C6">
        <w:t>the court</w:t>
      </w:r>
      <w:r w:rsidR="0054362B">
        <w:t xml:space="preserve"> reasoned that many of the types of conveyances contemplated by the rule would not be considered navigable waters under the jurisdictional standards set forth </w:t>
      </w:r>
      <w:r w:rsidR="0054362B">
        <w:lastRenderedPageBreak/>
        <w:t xml:space="preserve">in the U.S. Supreme Court’s </w:t>
      </w:r>
      <w:proofErr w:type="spellStart"/>
      <w:r w:rsidR="0054362B">
        <w:rPr>
          <w:i/>
        </w:rPr>
        <w:t>Rapanos</w:t>
      </w:r>
      <w:proofErr w:type="spellEnd"/>
      <w:r w:rsidR="0054362B">
        <w:t xml:space="preserve"> decision</w:t>
      </w:r>
      <w:r w:rsidR="00E05D99">
        <w:t>.</w:t>
      </w:r>
      <w:r w:rsidR="0054362B">
        <w:t xml:space="preserve">  The SDNY court further opined that </w:t>
      </w:r>
      <w:r w:rsidR="00A909C6">
        <w:t>language in the CWA</w:t>
      </w:r>
      <w:r w:rsidR="0054362B">
        <w:t xml:space="preserve"> regarding state rights and state primacy over water allocation support an interpretation </w:t>
      </w:r>
      <w:r w:rsidR="00785911">
        <w:t>that allows</w:t>
      </w:r>
      <w:r w:rsidR="0054362B">
        <w:t xml:space="preserve"> for a federal role in water allocation.  </w:t>
      </w:r>
    </w:p>
    <w:p w:rsidR="00E05D99" w:rsidRDefault="00E05D99" w:rsidP="004B3418">
      <w:pPr>
        <w:widowControl w:val="0"/>
        <w:kinsoku w:val="0"/>
        <w:ind w:left="720"/>
      </w:pPr>
    </w:p>
    <w:p w:rsidR="00E05D99" w:rsidRPr="00E05D99" w:rsidRDefault="00A17D65" w:rsidP="00E05D99">
      <w:pPr>
        <w:ind w:left="720"/>
      </w:pPr>
      <w:r>
        <w:rPr>
          <w:lang w:val="en-CA"/>
        </w:rPr>
        <w:t>Litigation regarding the rule is also pending in t</w:t>
      </w:r>
      <w:r w:rsidR="00E05D99" w:rsidRPr="00E05D99">
        <w:rPr>
          <w:lang w:val="en-CA"/>
        </w:rPr>
        <w:fldChar w:fldCharType="begin"/>
      </w:r>
      <w:r w:rsidR="00E05D99" w:rsidRPr="00E05D99">
        <w:rPr>
          <w:lang w:val="en-CA"/>
        </w:rPr>
        <w:instrText xml:space="preserve"> SEQ CHAPTER \h \r 1</w:instrText>
      </w:r>
      <w:r w:rsidR="00E05D99" w:rsidRPr="00E05D99">
        <w:rPr>
          <w:lang w:val="en-CA"/>
        </w:rPr>
        <w:fldChar w:fldCharType="end"/>
      </w:r>
      <w:proofErr w:type="gramStart"/>
      <w:r w:rsidR="00E05D99" w:rsidRPr="00E05D99">
        <w:t>he</w:t>
      </w:r>
      <w:proofErr w:type="gramEnd"/>
      <w:r w:rsidR="00E05D99" w:rsidRPr="00E05D99">
        <w:t xml:space="preserve"> 9</w:t>
      </w:r>
      <w:r w:rsidR="00E05D99" w:rsidRPr="00E05D99">
        <w:rPr>
          <w:vertAlign w:val="superscript"/>
        </w:rPr>
        <w:t>th</w:t>
      </w:r>
      <w:r w:rsidR="00E05D99" w:rsidRPr="00E05D99">
        <w:t xml:space="preserve"> Circuit Court of Appeals in </w:t>
      </w:r>
      <w:r w:rsidR="00E05D99" w:rsidRPr="00E05D99">
        <w:rPr>
          <w:i/>
          <w:iCs/>
        </w:rPr>
        <w:t>ONRC Action v. Bureau of Reclamation</w:t>
      </w:r>
      <w:r w:rsidR="00E05D99" w:rsidRPr="00E05D99">
        <w:t xml:space="preserve">.  The case stems from claims an environmental group filed against </w:t>
      </w:r>
      <w:r w:rsidR="00E05D99">
        <w:t xml:space="preserve">the Bureau of </w:t>
      </w:r>
      <w:r w:rsidR="00E05D99" w:rsidRPr="00E05D99">
        <w:t xml:space="preserve">Reclamation, arguing that the agency should obtain an NPDES permit to operate a drain in the federal Klamath Project that transfers water between the Klamath River and Lower Klamath Lake near the border between Oregon and California.  A federal district court disagreed </w:t>
      </w:r>
      <w:r w:rsidR="00E05D99">
        <w:t>with this assertion</w:t>
      </w:r>
      <w:r>
        <w:t>, reasoning that the CWA is ambiguous and that the rule is entitled to deference.  T</w:t>
      </w:r>
      <w:r w:rsidR="00E05D99">
        <w:t>his</w:t>
      </w:r>
      <w:r w:rsidR="00E05D99" w:rsidRPr="00E05D99">
        <w:t xml:space="preserve"> case marks the first time the 9</w:t>
      </w:r>
      <w:r w:rsidR="00E05D99" w:rsidRPr="00E05D99">
        <w:rPr>
          <w:vertAlign w:val="superscript"/>
        </w:rPr>
        <w:t>th</w:t>
      </w:r>
      <w:r w:rsidR="00E05D99" w:rsidRPr="00E05D99">
        <w:t xml:space="preserve"> Circuit will review the validity of EPA’s rule, although it did issue a decision in 2003 </w:t>
      </w:r>
      <w:r w:rsidR="00E05D99">
        <w:t>before EPA promulgated the rule</w:t>
      </w:r>
      <w:r w:rsidR="00E05D99" w:rsidRPr="00E05D99">
        <w:t xml:space="preserve"> that rejected the “unitary waters” theory upon which the rule is based.  </w:t>
      </w:r>
    </w:p>
    <w:p w:rsidR="00E05D99" w:rsidRDefault="00E05D99" w:rsidP="004B3418">
      <w:pPr>
        <w:widowControl w:val="0"/>
        <w:kinsoku w:val="0"/>
        <w:ind w:left="720"/>
      </w:pPr>
    </w:p>
    <w:p w:rsidR="00FA7339" w:rsidRPr="00F92C43" w:rsidRDefault="00AB1D0C" w:rsidP="004B3418">
      <w:pPr>
        <w:widowControl w:val="0"/>
        <w:kinsoku w:val="0"/>
        <w:ind w:left="720"/>
      </w:pPr>
      <w:r w:rsidRPr="00F92C43">
        <w:t xml:space="preserve">The </w:t>
      </w:r>
      <w:r w:rsidR="00FA7339" w:rsidRPr="00F92C43">
        <w:t>Committee</w:t>
      </w:r>
      <w:r w:rsidRPr="00F92C43">
        <w:t xml:space="preserve"> </w:t>
      </w:r>
      <w:r w:rsidR="00EC11DD" w:rsidRPr="00F92C43">
        <w:t xml:space="preserve">and WSWC </w:t>
      </w:r>
      <w:r w:rsidR="00A72FC3" w:rsidRPr="00F92C43">
        <w:t xml:space="preserve">staff </w:t>
      </w:r>
      <w:r w:rsidRPr="00F92C43">
        <w:t>ha</w:t>
      </w:r>
      <w:r w:rsidR="00EC11DD" w:rsidRPr="00F92C43">
        <w:t>ve</w:t>
      </w:r>
      <w:r w:rsidRPr="00F92C43">
        <w:t xml:space="preserve"> carried out a number of efforts to</w:t>
      </w:r>
      <w:r w:rsidR="00DD270D">
        <w:t xml:space="preserve"> support EPA’s Water Transfers R</w:t>
      </w:r>
      <w:r w:rsidRPr="00F92C43">
        <w:t xml:space="preserve">ule, including meeting with Administration and Congressional officials </w:t>
      </w:r>
      <w:r w:rsidR="00FA7339" w:rsidRPr="00F92C43">
        <w:t>to advocate the</w:t>
      </w:r>
      <w:r w:rsidR="00A13AF5" w:rsidRPr="00F92C43">
        <w:t xml:space="preserve"> WSWC’s position</w:t>
      </w:r>
      <w:r w:rsidR="001B548C">
        <w:t xml:space="preserve"> and</w:t>
      </w:r>
      <w:r w:rsidR="00FA7339" w:rsidRPr="00F92C43">
        <w:t xml:space="preserve"> </w:t>
      </w:r>
      <w:r w:rsidR="00A13AF5" w:rsidRPr="00F92C43">
        <w:t>updating the WSWC and others</w:t>
      </w:r>
      <w:r w:rsidR="00DD270D">
        <w:t xml:space="preserve"> stakeholders</w:t>
      </w:r>
      <w:r w:rsidR="00A13AF5" w:rsidRPr="00F92C43">
        <w:t xml:space="preserve"> on recent developments</w:t>
      </w:r>
      <w:r w:rsidR="001B548C">
        <w:t>.</w:t>
      </w:r>
      <w:r w:rsidR="00785911">
        <w:t xml:space="preserve">  Most recently, on May 12, 2014, the WSWC and the Western Governors’ Association wrote a joint letter to EPA on May 12, 2014, urging EPA to appeal the SDNY decision.  EPA subsequently filed notice that it will appeal the decision.    </w:t>
      </w:r>
      <w:r w:rsidR="00FA7339" w:rsidRPr="00F92C43">
        <w:t xml:space="preserve"> </w:t>
      </w:r>
    </w:p>
    <w:p w:rsidR="00FA7339" w:rsidRPr="00F92C43" w:rsidRDefault="00FA7339" w:rsidP="004B3418">
      <w:pPr>
        <w:widowControl w:val="0"/>
        <w:kinsoku w:val="0"/>
        <w:ind w:left="720"/>
      </w:pPr>
    </w:p>
    <w:p w:rsidR="00A13AF5" w:rsidRPr="00F92C43" w:rsidRDefault="00AB563F" w:rsidP="004B3418">
      <w:pPr>
        <w:widowControl w:val="0"/>
        <w:kinsoku w:val="0"/>
        <w:ind w:left="720"/>
      </w:pPr>
      <w:r w:rsidRPr="00F92C43">
        <w:rPr>
          <w:b/>
        </w:rPr>
        <w:t>201</w:t>
      </w:r>
      <w:r>
        <w:rPr>
          <w:b/>
        </w:rPr>
        <w:t>4</w:t>
      </w:r>
      <w:r w:rsidR="00FA7339" w:rsidRPr="00F92C43">
        <w:rPr>
          <w:b/>
        </w:rPr>
        <w:t>-</w:t>
      </w:r>
      <w:r w:rsidRPr="00F92C43">
        <w:rPr>
          <w:b/>
        </w:rPr>
        <w:t>201</w:t>
      </w:r>
      <w:r>
        <w:rPr>
          <w:b/>
        </w:rPr>
        <w:t>5</w:t>
      </w:r>
      <w:r w:rsidR="00FA7339" w:rsidRPr="00F92C43">
        <w:rPr>
          <w:b/>
        </w:rPr>
        <w:t xml:space="preserve">:  </w:t>
      </w:r>
      <w:r w:rsidR="00FA7339" w:rsidRPr="00F92C43">
        <w:t xml:space="preserve">The </w:t>
      </w:r>
      <w:r w:rsidR="00A13AF5" w:rsidRPr="00F92C43">
        <w:t>Committee</w:t>
      </w:r>
      <w:r w:rsidR="00FA7339" w:rsidRPr="00F92C43">
        <w:t xml:space="preserve"> </w:t>
      </w:r>
      <w:r w:rsidR="00A72FC3" w:rsidRPr="00F92C43">
        <w:t xml:space="preserve">and WSWC staff </w:t>
      </w:r>
      <w:r w:rsidR="00FA7339" w:rsidRPr="00F92C43">
        <w:t>will</w:t>
      </w:r>
      <w:r w:rsidR="00A13AF5" w:rsidRPr="00F92C43">
        <w:t xml:space="preserve">: (1) continue to </w:t>
      </w:r>
      <w:r w:rsidR="00CD605D">
        <w:t xml:space="preserve">support the </w:t>
      </w:r>
      <w:r w:rsidR="00281DBD">
        <w:t xml:space="preserve">WGA and </w:t>
      </w:r>
      <w:r w:rsidR="00CD605D">
        <w:t>WSWC position</w:t>
      </w:r>
      <w:r w:rsidR="00281DBD">
        <w:t>s</w:t>
      </w:r>
      <w:r w:rsidR="00A13AF5" w:rsidRPr="00F92C43">
        <w:t>; (2) monitor any and all activities impacting EPA’s rule</w:t>
      </w:r>
      <w:r w:rsidR="005F2DB7" w:rsidRPr="00F92C43">
        <w:t xml:space="preserve">, including but not limited to the </w:t>
      </w:r>
      <w:r w:rsidR="00F82924">
        <w:t>SDNY</w:t>
      </w:r>
      <w:r w:rsidR="00E05D99">
        <w:t xml:space="preserve"> and 9</w:t>
      </w:r>
      <w:r w:rsidR="00E05D99" w:rsidRPr="00E05D99">
        <w:rPr>
          <w:vertAlign w:val="superscript"/>
        </w:rPr>
        <w:t>th</w:t>
      </w:r>
      <w:r w:rsidR="00E05D99">
        <w:t xml:space="preserve"> Circuit</w:t>
      </w:r>
      <w:r w:rsidR="005F2DB7" w:rsidRPr="00F92C43">
        <w:t xml:space="preserve"> litigation and </w:t>
      </w:r>
      <w:r w:rsidR="00DD270D">
        <w:t xml:space="preserve">possible efforts by </w:t>
      </w:r>
      <w:r w:rsidR="005F2DB7" w:rsidRPr="00F92C43">
        <w:t>EPA to reconsider the rule</w:t>
      </w:r>
      <w:r w:rsidR="00A13AF5" w:rsidRPr="00F92C43">
        <w:t xml:space="preserve">; and (3) </w:t>
      </w:r>
      <w:r w:rsidR="0015638F" w:rsidRPr="00F92C43">
        <w:t>inform</w:t>
      </w:r>
      <w:r w:rsidR="00A13AF5" w:rsidRPr="00F92C43">
        <w:t xml:space="preserve"> the WSWC of </w:t>
      </w:r>
      <w:r w:rsidR="0015638F" w:rsidRPr="00F92C43">
        <w:t xml:space="preserve">ongoing </w:t>
      </w:r>
      <w:r w:rsidR="00A13AF5" w:rsidRPr="00F92C43">
        <w:t>developments.</w:t>
      </w:r>
    </w:p>
    <w:p w:rsidR="0039340A" w:rsidRPr="00F92C43" w:rsidRDefault="0039340A" w:rsidP="004B3418">
      <w:pPr>
        <w:widowControl w:val="0"/>
        <w:kinsoku w:val="0"/>
        <w:ind w:left="720"/>
      </w:pPr>
    </w:p>
    <w:p w:rsidR="0039340A" w:rsidRDefault="0039340A" w:rsidP="004B3418">
      <w:pPr>
        <w:widowControl w:val="0"/>
        <w:kinsoku w:val="0"/>
        <w:ind w:left="720"/>
      </w:pPr>
      <w:r w:rsidRPr="00F92C43">
        <w:rPr>
          <w:b/>
        </w:rPr>
        <w:t xml:space="preserve">Time Frame:  </w:t>
      </w:r>
      <w:r w:rsidRPr="00F92C43">
        <w:t xml:space="preserve">Ongoing </w:t>
      </w:r>
    </w:p>
    <w:p w:rsidR="0067422F" w:rsidRDefault="0067422F" w:rsidP="006E100E">
      <w:pPr>
        <w:autoSpaceDE w:val="0"/>
        <w:autoSpaceDN w:val="0"/>
        <w:adjustRightInd w:val="0"/>
      </w:pPr>
    </w:p>
    <w:p w:rsidR="00791058" w:rsidRDefault="009F2CC2" w:rsidP="0009581B">
      <w:pPr>
        <w:autoSpaceDE w:val="0"/>
        <w:autoSpaceDN w:val="0"/>
        <w:adjustRightInd w:val="0"/>
      </w:pPr>
      <w:r>
        <w:rPr>
          <w:b/>
        </w:rPr>
        <w:tab/>
      </w:r>
      <w:r w:rsidR="00F46C2F">
        <w:t xml:space="preserve"> </w:t>
      </w:r>
    </w:p>
    <w:p w:rsidR="007E7EC9" w:rsidRPr="009F2CC2" w:rsidRDefault="009F2CC2" w:rsidP="00791058">
      <w:pPr>
        <w:autoSpaceDE w:val="0"/>
        <w:autoSpaceDN w:val="0"/>
        <w:adjustRightInd w:val="0"/>
        <w:ind w:firstLine="720"/>
        <w:rPr>
          <w:b/>
        </w:rPr>
      </w:pPr>
      <w:r>
        <w:rPr>
          <w:b/>
        </w:rPr>
        <w:t>d.</w:t>
      </w:r>
      <w:r>
        <w:rPr>
          <w:b/>
        </w:rPr>
        <w:tab/>
      </w:r>
      <w:r w:rsidRPr="000F069B">
        <w:rPr>
          <w:b/>
          <w:u w:val="single"/>
        </w:rPr>
        <w:t>Nutrients</w:t>
      </w:r>
    </w:p>
    <w:p w:rsidR="007E7EC9" w:rsidRDefault="007E7EC9" w:rsidP="007E7EC9">
      <w:pPr>
        <w:widowControl w:val="0"/>
        <w:kinsoku w:val="0"/>
      </w:pPr>
    </w:p>
    <w:p w:rsidR="007E7EC9" w:rsidRDefault="007E7EC9" w:rsidP="009F2CC2">
      <w:pPr>
        <w:widowControl w:val="0"/>
        <w:kinsoku w:val="0"/>
        <w:ind w:left="720"/>
        <w:rPr>
          <w:rFonts w:ascii="Lucida Sans Unicode" w:hAnsi="Lucida Sans Unicode" w:cs="Lucida Sans Unicode"/>
          <w:sz w:val="19"/>
          <w:szCs w:val="19"/>
        </w:rPr>
      </w:pPr>
      <w:r w:rsidRPr="00F92C43">
        <w:rPr>
          <w:b/>
        </w:rPr>
        <w:t xml:space="preserve">Work-to-Date: </w:t>
      </w:r>
      <w:r w:rsidRPr="00F92C43">
        <w:t>EPA’s Office of Water is working to carry out a National Nutrient Strategy to accelerate state adoption of numeric water quality standards while building the scientific and technical infrastructure for developing new criteria to address nitrogen and phosphorus pollution.</w:t>
      </w:r>
      <w:r>
        <w:t xml:space="preserve"> </w:t>
      </w:r>
      <w:r w:rsidRPr="00F92C43">
        <w:rPr>
          <w:rFonts w:ascii="Lucida Sans Unicode" w:hAnsi="Lucida Sans Unicode" w:cs="Lucida Sans Unicode"/>
          <w:sz w:val="19"/>
          <w:szCs w:val="19"/>
        </w:rPr>
        <w:t xml:space="preserve"> </w:t>
      </w:r>
    </w:p>
    <w:p w:rsidR="007E7EC9" w:rsidRPr="00F92C43" w:rsidRDefault="007E7EC9" w:rsidP="009F2CC2">
      <w:pPr>
        <w:pStyle w:val="NormalWeb"/>
        <w:shd w:val="clear" w:color="auto" w:fill="FFFFFF"/>
        <w:ind w:left="720"/>
      </w:pPr>
      <w:r w:rsidRPr="00F92C43">
        <w:t xml:space="preserve">On March 16, 2011, EPA Acting Assistant Administrator for Water Nancy Stoner issued a memo to EPA’s Regional Administrators to synthesize key principles regarding the agency’s technical assistance and collaboration with states.  The memo urged the regions to place new emphasis on working with states to achieve near-term reductions in nutrient loadings.  Most notably, the memo provided a “Recommended Elements of a State Nutrients Framework” to serve as a tool to “…guide ongoing collaboration between EPA regions and states in their joint effort to make progress on reducing nitrogen and phosphorus pollution.”  It also asked each </w:t>
      </w:r>
      <w:r>
        <w:t>r</w:t>
      </w:r>
      <w:r w:rsidRPr="00F92C43">
        <w:t xml:space="preserve">egion to use the framework as a basis for </w:t>
      </w:r>
      <w:r w:rsidRPr="00F92C43">
        <w:lastRenderedPageBreak/>
        <w:t xml:space="preserve">discussions with interested and willing states, the goal of which would be to tailor the framework to particular state circumstances.  </w:t>
      </w:r>
    </w:p>
    <w:p w:rsidR="007E7EC9" w:rsidRPr="00F92C43" w:rsidRDefault="007E7EC9" w:rsidP="009F2CC2">
      <w:pPr>
        <w:autoSpaceDE w:val="0"/>
        <w:autoSpaceDN w:val="0"/>
        <w:adjustRightInd w:val="0"/>
        <w:ind w:left="720"/>
      </w:pPr>
      <w:r w:rsidRPr="00F92C43">
        <w:t xml:space="preserve">The Committee and WSWC staff have followed and updated the WSWC on EPA efforts involving nutrients.  Various Committee meetings have also featured presentations from EPA </w:t>
      </w:r>
      <w:r w:rsidR="00585F7E">
        <w:t xml:space="preserve">and state </w:t>
      </w:r>
      <w:r w:rsidRPr="00F92C43">
        <w:t>officials on</w:t>
      </w:r>
      <w:r w:rsidR="00486E9B">
        <w:t xml:space="preserve"> federal and state</w:t>
      </w:r>
      <w:r w:rsidRPr="00F92C43">
        <w:t xml:space="preserve"> </w:t>
      </w:r>
      <w:r w:rsidR="00585F7E">
        <w:t>nutrient</w:t>
      </w:r>
      <w:r w:rsidRPr="00F92C43">
        <w:t xml:space="preserve"> </w:t>
      </w:r>
      <w:r w:rsidR="007E6456">
        <w:t xml:space="preserve">management </w:t>
      </w:r>
      <w:r w:rsidRPr="00F92C43">
        <w:t xml:space="preserve">efforts.  </w:t>
      </w:r>
    </w:p>
    <w:p w:rsidR="007E7EC9" w:rsidRPr="00F92C43" w:rsidRDefault="007E7EC9" w:rsidP="009F2CC2">
      <w:pPr>
        <w:autoSpaceDE w:val="0"/>
        <w:autoSpaceDN w:val="0"/>
        <w:adjustRightInd w:val="0"/>
        <w:ind w:left="720"/>
      </w:pPr>
    </w:p>
    <w:p w:rsidR="007E7EC9" w:rsidRPr="00F92C43" w:rsidRDefault="00E72FBB" w:rsidP="009F2CC2">
      <w:pPr>
        <w:autoSpaceDE w:val="0"/>
        <w:autoSpaceDN w:val="0"/>
        <w:adjustRightInd w:val="0"/>
        <w:ind w:left="720"/>
        <w:rPr>
          <w:b/>
        </w:rPr>
      </w:pPr>
      <w:r w:rsidRPr="00953E9E">
        <w:t>Paragraph B(</w:t>
      </w:r>
      <w:r w:rsidR="00953E9E">
        <w:t>3</w:t>
      </w:r>
      <w:r w:rsidRPr="00953E9E">
        <w:t>)</w:t>
      </w:r>
      <w:r w:rsidR="00953E9E">
        <w:t>(b)</w:t>
      </w:r>
      <w:r w:rsidRPr="00953E9E">
        <w:t xml:space="preserve"> of </w:t>
      </w:r>
      <w:r w:rsidR="007E7EC9" w:rsidRPr="00953E9E">
        <w:t>WGA Resolution #</w:t>
      </w:r>
      <w:r w:rsidR="00953E9E">
        <w:t>2014-04</w:t>
      </w:r>
      <w:r w:rsidR="007E7EC9" w:rsidRPr="00F92C43">
        <w:t xml:space="preserve"> </w:t>
      </w:r>
      <w:r w:rsidR="00953E9E">
        <w:t xml:space="preserve">states that “…nutrients produced by non-point sources fall outside of NPDES jurisdiction and should not be treated like other pollutants that have clear and consistent thresholds over a broad range of aquatic systems and conditions.”  The WGA’s resolution further states that states should have “sufficient flexibility” to utilize their own incentives and authorities to establish standards and control strategies to address nutrient pollution, rather than “being forced to abide by one-size-fits-all federal numeric criteria.”  According to the WGA’s resolution, successful tools currently in use by states include best management practices, nutrient trading, </w:t>
      </w:r>
      <w:r w:rsidR="00061474">
        <w:t xml:space="preserve">and </w:t>
      </w:r>
      <w:r w:rsidR="00953E9E">
        <w:t>controlling other water quality parameters</w:t>
      </w:r>
      <w:r w:rsidR="00C829A2">
        <w:t>, among other “innovative” approaches</w:t>
      </w:r>
      <w:r w:rsidR="00953E9E">
        <w:t>.</w:t>
      </w:r>
    </w:p>
    <w:p w:rsidR="007E7EC9" w:rsidRPr="00F92C43" w:rsidRDefault="007E7EC9" w:rsidP="009F2CC2">
      <w:pPr>
        <w:widowControl w:val="0"/>
        <w:kinsoku w:val="0"/>
        <w:ind w:left="720"/>
      </w:pPr>
    </w:p>
    <w:p w:rsidR="007E7EC9" w:rsidRPr="00F92C43" w:rsidRDefault="00AB563F" w:rsidP="009F2CC2">
      <w:pPr>
        <w:widowControl w:val="0"/>
        <w:kinsoku w:val="0"/>
        <w:ind w:left="720"/>
      </w:pPr>
      <w:r w:rsidRPr="00F92C43">
        <w:rPr>
          <w:b/>
        </w:rPr>
        <w:t>201</w:t>
      </w:r>
      <w:r>
        <w:rPr>
          <w:b/>
        </w:rPr>
        <w:t>4</w:t>
      </w:r>
      <w:r w:rsidR="007E7EC9" w:rsidRPr="00F92C43">
        <w:rPr>
          <w:b/>
        </w:rPr>
        <w:t>-</w:t>
      </w:r>
      <w:r w:rsidRPr="00F92C43">
        <w:rPr>
          <w:b/>
        </w:rPr>
        <w:t>201</w:t>
      </w:r>
      <w:r>
        <w:rPr>
          <w:b/>
        </w:rPr>
        <w:t>5</w:t>
      </w:r>
      <w:r w:rsidR="007E7EC9" w:rsidRPr="00F92C43">
        <w:rPr>
          <w:b/>
        </w:rPr>
        <w:t xml:space="preserve">:  </w:t>
      </w:r>
      <w:r w:rsidR="007E7EC9" w:rsidRPr="00F92C43">
        <w:t>The Committee and WSWC staff will monitor EPA’s nutrient efforts and inform the WSWC of ongoing developments.</w:t>
      </w:r>
      <w:r w:rsidR="00667DC9">
        <w:t xml:space="preserve">  It will also ensure that the WSWC’s efforts do not duplicate those of the Association of Clean Water Administrators. </w:t>
      </w:r>
    </w:p>
    <w:p w:rsidR="007E7EC9" w:rsidRPr="00F92C43" w:rsidRDefault="007E7EC9" w:rsidP="007E7EC9">
      <w:pPr>
        <w:autoSpaceDE w:val="0"/>
        <w:autoSpaceDN w:val="0"/>
        <w:adjustRightInd w:val="0"/>
      </w:pPr>
    </w:p>
    <w:p w:rsidR="007E7EC9" w:rsidRDefault="007E7EC9" w:rsidP="009F2CC2">
      <w:pPr>
        <w:autoSpaceDE w:val="0"/>
        <w:autoSpaceDN w:val="0"/>
        <w:adjustRightInd w:val="0"/>
        <w:ind w:left="720"/>
      </w:pPr>
      <w:r w:rsidRPr="00F92C43">
        <w:rPr>
          <w:b/>
        </w:rPr>
        <w:t xml:space="preserve">Time Frame:  </w:t>
      </w:r>
      <w:r w:rsidRPr="00F92C43">
        <w:t xml:space="preserve">Ongoing </w:t>
      </w:r>
    </w:p>
    <w:p w:rsidR="006F0880" w:rsidRDefault="006F0880" w:rsidP="009F2CC2">
      <w:pPr>
        <w:ind w:left="1440" w:hanging="720"/>
        <w:rPr>
          <w:b/>
        </w:rPr>
      </w:pPr>
    </w:p>
    <w:p w:rsidR="006F0880" w:rsidRDefault="006F0880" w:rsidP="009F2CC2">
      <w:pPr>
        <w:ind w:left="1440" w:hanging="720"/>
        <w:rPr>
          <w:b/>
        </w:rPr>
      </w:pPr>
    </w:p>
    <w:p w:rsidR="009F2CC2" w:rsidRPr="009F2CC2" w:rsidRDefault="009F2CC2" w:rsidP="009F2CC2">
      <w:pPr>
        <w:ind w:left="1440" w:hanging="720"/>
        <w:rPr>
          <w:b/>
        </w:rPr>
      </w:pPr>
      <w:r>
        <w:rPr>
          <w:b/>
        </w:rPr>
        <w:t>e.</w:t>
      </w:r>
      <w:r>
        <w:rPr>
          <w:b/>
        </w:rPr>
        <w:tab/>
      </w:r>
      <w:r w:rsidRPr="000F069B">
        <w:rPr>
          <w:b/>
          <w:u w:val="single"/>
        </w:rPr>
        <w:t>Pesticide Permits and National Pollutant Discharge Elimination System (NPDES) Permits</w:t>
      </w:r>
    </w:p>
    <w:p w:rsidR="007E7EC9" w:rsidRPr="00F92C43" w:rsidRDefault="007E7EC9" w:rsidP="007E7EC9">
      <w:pPr>
        <w:ind w:left="720" w:hanging="720"/>
        <w:rPr>
          <w:b/>
          <w:u w:val="single"/>
        </w:rPr>
      </w:pPr>
    </w:p>
    <w:p w:rsidR="007E7EC9" w:rsidRPr="00F92C43" w:rsidRDefault="007E7EC9" w:rsidP="009F2CC2">
      <w:pPr>
        <w:ind w:left="720"/>
      </w:pPr>
      <w:r w:rsidRPr="00F92C43">
        <w:rPr>
          <w:b/>
          <w:sz w:val="23"/>
          <w:szCs w:val="23"/>
        </w:rPr>
        <w:t xml:space="preserve">Work-to-Date:  </w:t>
      </w:r>
      <w:r w:rsidRPr="00F92C43">
        <w:t xml:space="preserve">The Sixth Circuit Court of Appeals’ 2009 ruling in </w:t>
      </w:r>
      <w:r w:rsidRPr="00F92C43">
        <w:rPr>
          <w:i/>
          <w:iCs/>
        </w:rPr>
        <w:t>National Cotton Council v. Environmental Protection Agency</w:t>
      </w:r>
      <w:r w:rsidRPr="00F92C43">
        <w:t xml:space="preserve"> vacated an EPA rule that exempted pesticide applications made in compliance with the Federal Insecticide, Fungicide, and Rodenticide Act (FIFRA).  The decision has national implications because it consolidated </w:t>
      </w:r>
      <w:r>
        <w:t>rule challenges</w:t>
      </w:r>
      <w:r w:rsidRPr="00F92C43">
        <w:t xml:space="preserve"> filed in eleven circuits, and because the U.S. Supreme Court declined to review the decision.  </w:t>
      </w:r>
    </w:p>
    <w:p w:rsidR="007E7EC9" w:rsidRPr="00F92C43" w:rsidRDefault="007E7EC9" w:rsidP="009F2CC2">
      <w:pPr>
        <w:autoSpaceDE w:val="0"/>
        <w:autoSpaceDN w:val="0"/>
        <w:adjustRightInd w:val="0"/>
        <w:ind w:left="720"/>
      </w:pPr>
    </w:p>
    <w:p w:rsidR="00585F7E" w:rsidRDefault="007E7EC9" w:rsidP="009F2CC2">
      <w:pPr>
        <w:autoSpaceDE w:val="0"/>
        <w:autoSpaceDN w:val="0"/>
        <w:adjustRightInd w:val="0"/>
        <w:ind w:left="720"/>
      </w:pPr>
      <w:r w:rsidRPr="00F92C43">
        <w:t>WSWC Position #328 urg</w:t>
      </w:r>
      <w:r w:rsidR="00585F7E">
        <w:t>es</w:t>
      </w:r>
      <w:r w:rsidRPr="00F92C43">
        <w:t xml:space="preserve"> Congress to amend the CWA and FIFRA to clarify that FIFRA-compliant pesticide applications do not require NPDES permits.</w:t>
      </w:r>
      <w:r w:rsidR="00585F7E">
        <w:t xml:space="preserve">  </w:t>
      </w:r>
      <w:r w:rsidR="00E72FBB">
        <w:t>Paragraph B(</w:t>
      </w:r>
      <w:r w:rsidR="00061474">
        <w:t>2</w:t>
      </w:r>
      <w:r w:rsidR="00E72FBB">
        <w:t>)</w:t>
      </w:r>
      <w:r w:rsidR="00061474">
        <w:t>(d)</w:t>
      </w:r>
      <w:r w:rsidR="00E72FBB">
        <w:t xml:space="preserve"> of </w:t>
      </w:r>
      <w:r w:rsidR="00585F7E">
        <w:t>WGA Resolution #</w:t>
      </w:r>
      <w:r w:rsidR="00061474">
        <w:t>2014-04</w:t>
      </w:r>
      <w:r w:rsidR="00585F7E">
        <w:t xml:space="preserve"> also states that the Western Governors support FIFRA’s primary role in regulating pesticide applications to water, and will seek state-based solutions that compliment rather than duplicate FIFRA. </w:t>
      </w:r>
      <w:r w:rsidR="00580B5B">
        <w:t xml:space="preserve">  </w:t>
      </w:r>
    </w:p>
    <w:p w:rsidR="00585F7E" w:rsidRDefault="00585F7E" w:rsidP="009F2CC2">
      <w:pPr>
        <w:autoSpaceDE w:val="0"/>
        <w:autoSpaceDN w:val="0"/>
        <w:adjustRightInd w:val="0"/>
        <w:ind w:left="720"/>
      </w:pPr>
    </w:p>
    <w:p w:rsidR="007E7EC9" w:rsidRDefault="007E7EC9" w:rsidP="009F2CC2">
      <w:pPr>
        <w:autoSpaceDE w:val="0"/>
        <w:autoSpaceDN w:val="0"/>
        <w:adjustRightInd w:val="0"/>
        <w:ind w:left="720"/>
      </w:pPr>
      <w:r w:rsidRPr="00F92C43">
        <w:t xml:space="preserve">WSWC members and staff </w:t>
      </w:r>
      <w:r w:rsidR="00585F7E">
        <w:t>have supported these</w:t>
      </w:r>
      <w:r>
        <w:t xml:space="preserve"> position</w:t>
      </w:r>
      <w:r w:rsidR="00585F7E">
        <w:t>s</w:t>
      </w:r>
      <w:r>
        <w:t xml:space="preserve"> through multiple visits with Congressional officials</w:t>
      </w:r>
      <w:r w:rsidR="00486E9B">
        <w:t>.  WSWC staff</w:t>
      </w:r>
      <w:r>
        <w:t xml:space="preserve"> also completed a summary of state</w:t>
      </w:r>
      <w:r w:rsidRPr="00F92C43">
        <w:t xml:space="preserve"> information and examples of how dual CWA-FIFRA regulation will impact western states.  </w:t>
      </w:r>
      <w:r w:rsidR="00585F7E">
        <w:t xml:space="preserve">Most recently, legislation (S. </w:t>
      </w:r>
      <w:r w:rsidR="00486E9B">
        <w:t>175</w:t>
      </w:r>
      <w:r w:rsidR="00585F7E">
        <w:t xml:space="preserve"> and </w:t>
      </w:r>
      <w:r w:rsidR="00486E9B">
        <w:t>S.802/</w:t>
      </w:r>
      <w:r w:rsidR="00585F7E">
        <w:t xml:space="preserve">H.R. </w:t>
      </w:r>
      <w:r w:rsidR="00486E9B">
        <w:t>935</w:t>
      </w:r>
      <w:r w:rsidR="00585F7E">
        <w:t>) has been introduced in the 113</w:t>
      </w:r>
      <w:r w:rsidR="00585F7E" w:rsidRPr="00585F7E">
        <w:rPr>
          <w:vertAlign w:val="superscript"/>
        </w:rPr>
        <w:t>th</w:t>
      </w:r>
      <w:r w:rsidR="00585F7E">
        <w:t xml:space="preserve"> Congress </w:t>
      </w:r>
      <w:r w:rsidR="00E324E2">
        <w:t>that would</w:t>
      </w:r>
      <w:r w:rsidR="00585F7E">
        <w:t xml:space="preserve"> overturn the Sixth Circuit’s decision</w:t>
      </w:r>
      <w:r w:rsidR="00E324E2">
        <w:t xml:space="preserve"> and prevent EPA and states from requiring NPDES permits for pesticide applications.  </w:t>
      </w:r>
    </w:p>
    <w:p w:rsidR="00585F7E" w:rsidRDefault="00585F7E" w:rsidP="009F2CC2">
      <w:pPr>
        <w:autoSpaceDE w:val="0"/>
        <w:autoSpaceDN w:val="0"/>
        <w:adjustRightInd w:val="0"/>
        <w:ind w:left="720"/>
      </w:pPr>
    </w:p>
    <w:p w:rsidR="007E7EC9" w:rsidRPr="00F92C43" w:rsidRDefault="00AB563F" w:rsidP="009F2CC2">
      <w:pPr>
        <w:autoSpaceDE w:val="0"/>
        <w:autoSpaceDN w:val="0"/>
        <w:adjustRightInd w:val="0"/>
        <w:ind w:left="720"/>
      </w:pPr>
      <w:r w:rsidRPr="00F92C43">
        <w:rPr>
          <w:b/>
        </w:rPr>
        <w:t>201</w:t>
      </w:r>
      <w:r>
        <w:rPr>
          <w:b/>
        </w:rPr>
        <w:t>4</w:t>
      </w:r>
      <w:r w:rsidR="007E7EC9" w:rsidRPr="00F92C43">
        <w:rPr>
          <w:b/>
        </w:rPr>
        <w:t>-</w:t>
      </w:r>
      <w:r w:rsidRPr="00F92C43">
        <w:rPr>
          <w:b/>
        </w:rPr>
        <w:t>201</w:t>
      </w:r>
      <w:r>
        <w:rPr>
          <w:b/>
        </w:rPr>
        <w:t>5</w:t>
      </w:r>
      <w:r w:rsidR="007E7EC9" w:rsidRPr="00F92C43">
        <w:rPr>
          <w:b/>
        </w:rPr>
        <w:t>:</w:t>
      </w:r>
      <w:r w:rsidR="007E7EC9" w:rsidRPr="00F92C43">
        <w:t xml:space="preserve">  The Committee will</w:t>
      </w:r>
      <w:r w:rsidR="00585F7E">
        <w:t xml:space="preserve"> continue to: (1)</w:t>
      </w:r>
      <w:r w:rsidR="007E7EC9" w:rsidRPr="00F92C43">
        <w:t xml:space="preserve"> </w:t>
      </w:r>
      <w:r w:rsidR="00585F7E">
        <w:t xml:space="preserve">monitor and inform the WSWC about developments involving this issue; </w:t>
      </w:r>
      <w:r w:rsidR="00F128F3">
        <w:t xml:space="preserve">and </w:t>
      </w:r>
      <w:r w:rsidR="00585F7E">
        <w:t xml:space="preserve">(2) </w:t>
      </w:r>
      <w:r w:rsidR="007E7EC9" w:rsidRPr="00F92C43">
        <w:t xml:space="preserve">work with key Congressional members and their staff </w:t>
      </w:r>
      <w:r w:rsidR="00E324E2">
        <w:t>consistent with the WGA and WSWC positions to support legislation that would</w:t>
      </w:r>
      <w:r w:rsidR="007E7EC9" w:rsidRPr="00F92C43">
        <w:t xml:space="preserve"> clarify that FIFRA-compliant pesticide applicatio</w:t>
      </w:r>
      <w:r w:rsidR="00585F7E">
        <w:t>ns do not require NPDES permits</w:t>
      </w:r>
      <w:r w:rsidR="007E7EC9" w:rsidRPr="00F92C43">
        <w:t>.</w:t>
      </w:r>
    </w:p>
    <w:p w:rsidR="007E7EC9" w:rsidRPr="00F92C43" w:rsidRDefault="007E7EC9" w:rsidP="009F2CC2">
      <w:pPr>
        <w:autoSpaceDE w:val="0"/>
        <w:autoSpaceDN w:val="0"/>
        <w:adjustRightInd w:val="0"/>
        <w:ind w:left="720"/>
      </w:pPr>
    </w:p>
    <w:p w:rsidR="007E7EC9" w:rsidRDefault="007E7EC9" w:rsidP="009F2CC2">
      <w:pPr>
        <w:autoSpaceDE w:val="0"/>
        <w:autoSpaceDN w:val="0"/>
        <w:adjustRightInd w:val="0"/>
        <w:ind w:left="720"/>
      </w:pPr>
      <w:r w:rsidRPr="00F92C43">
        <w:rPr>
          <w:b/>
        </w:rPr>
        <w:t xml:space="preserve">Time Frame:  </w:t>
      </w:r>
      <w:r w:rsidRPr="00F92C43">
        <w:t xml:space="preserve">Ongoing </w:t>
      </w:r>
    </w:p>
    <w:p w:rsidR="007E7EC9" w:rsidRDefault="007E7EC9" w:rsidP="007E7EC9">
      <w:pPr>
        <w:autoSpaceDE w:val="0"/>
        <w:autoSpaceDN w:val="0"/>
        <w:adjustRightInd w:val="0"/>
      </w:pPr>
    </w:p>
    <w:p w:rsidR="00791058" w:rsidRDefault="00791058" w:rsidP="007E7EC9">
      <w:pPr>
        <w:autoSpaceDE w:val="0"/>
        <w:autoSpaceDN w:val="0"/>
        <w:adjustRightInd w:val="0"/>
      </w:pPr>
    </w:p>
    <w:p w:rsidR="009F2CC2" w:rsidRPr="009F2CC2" w:rsidRDefault="009F2CC2" w:rsidP="007E7EC9">
      <w:pPr>
        <w:rPr>
          <w:b/>
        </w:rPr>
      </w:pPr>
      <w:r>
        <w:tab/>
      </w:r>
      <w:r>
        <w:rPr>
          <w:b/>
        </w:rPr>
        <w:t>f.</w:t>
      </w:r>
      <w:r>
        <w:rPr>
          <w:b/>
        </w:rPr>
        <w:tab/>
      </w:r>
      <w:r w:rsidRPr="000F069B">
        <w:rPr>
          <w:b/>
          <w:u w:val="single"/>
        </w:rPr>
        <w:t xml:space="preserve">Abandoned </w:t>
      </w:r>
      <w:proofErr w:type="spellStart"/>
      <w:r w:rsidRPr="000F069B">
        <w:rPr>
          <w:b/>
          <w:u w:val="single"/>
        </w:rPr>
        <w:t>Hardrock</w:t>
      </w:r>
      <w:proofErr w:type="spellEnd"/>
      <w:r w:rsidRPr="000F069B">
        <w:rPr>
          <w:b/>
          <w:u w:val="single"/>
        </w:rPr>
        <w:t xml:space="preserve"> Mine Remediation</w:t>
      </w:r>
      <w:r>
        <w:rPr>
          <w:b/>
        </w:rPr>
        <w:t xml:space="preserve">  </w:t>
      </w:r>
    </w:p>
    <w:p w:rsidR="009F2CC2" w:rsidRPr="00F92C43" w:rsidRDefault="009F2CC2" w:rsidP="007E7EC9">
      <w:pPr>
        <w:rPr>
          <w:b/>
          <w:u w:val="single"/>
        </w:rPr>
      </w:pPr>
    </w:p>
    <w:p w:rsidR="007E7EC9" w:rsidRPr="00F92C43" w:rsidRDefault="007E7EC9" w:rsidP="009F2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92C43">
        <w:rPr>
          <w:b/>
        </w:rPr>
        <w:t xml:space="preserve">Work-to-Date:  </w:t>
      </w:r>
      <w:r>
        <w:t xml:space="preserve">The WGA and WSWC have long supported </w:t>
      </w:r>
      <w:r w:rsidRPr="00F92C43">
        <w:t xml:space="preserve">legislation to amend the </w:t>
      </w:r>
      <w:r>
        <w:t>Clean Water Act (CWA)</w:t>
      </w:r>
      <w:r w:rsidRPr="00F92C43">
        <w:t xml:space="preserve"> to protect </w:t>
      </w:r>
      <w:r>
        <w:t xml:space="preserve">authorized third parties, or “Good Samaritans,” who voluntarily clean up abandoned </w:t>
      </w:r>
      <w:proofErr w:type="spellStart"/>
      <w:r>
        <w:t>hardrock</w:t>
      </w:r>
      <w:proofErr w:type="spellEnd"/>
      <w:r>
        <w:t xml:space="preserve"> mines</w:t>
      </w:r>
      <w:r w:rsidR="007E6456">
        <w:t>,</w:t>
      </w:r>
      <w:r>
        <w:t xml:space="preserve"> from inheriting perpetual liability for the site under the CWA</w:t>
      </w:r>
      <w:r w:rsidRPr="000E265D">
        <w:t xml:space="preserve"> </w:t>
      </w:r>
      <w:r>
        <w:t>(</w:t>
      </w:r>
      <w:r w:rsidRPr="00061474">
        <w:t>WGA Policy Resolution #</w:t>
      </w:r>
      <w:r w:rsidR="00061474">
        <w:t>13-05</w:t>
      </w:r>
      <w:r w:rsidRPr="00061474">
        <w:t>).</w:t>
      </w:r>
    </w:p>
    <w:p w:rsidR="007E7EC9" w:rsidRPr="00F92C43" w:rsidRDefault="007E7EC9" w:rsidP="009F2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E7EC9" w:rsidRPr="00F92C43" w:rsidRDefault="007E7EC9" w:rsidP="009F2CC2">
      <w:pPr>
        <w:tabs>
          <w:tab w:val="left" w:pos="720"/>
        </w:tabs>
        <w:ind w:left="720"/>
      </w:pPr>
      <w:r w:rsidRPr="00F92C43">
        <w:t>A number of Good Samaritan bills have been introduced in Congress over the years</w:t>
      </w:r>
      <w:r>
        <w:t xml:space="preserve">, including legislation introduced by Senator Mark Udall </w:t>
      </w:r>
      <w:r w:rsidR="00585F7E">
        <w:t>(D-CO)</w:t>
      </w:r>
      <w:r>
        <w:t xml:space="preserve">. </w:t>
      </w:r>
      <w:r w:rsidR="00585F7E">
        <w:t xml:space="preserve"> </w:t>
      </w:r>
      <w:r>
        <w:t>These bills</w:t>
      </w:r>
      <w:r w:rsidRPr="00F92C43">
        <w:t xml:space="preserve"> have been unsuccessful due to concerns about the potential impacts of amending the CWA and perceptions that sufficient protections already exist under the Comprehensive Environmental Response, Compensation and Liability Act (CERCLA).  However, considerable uncertainty exists as to whether CERCLA and other existing authorities provide Good Samaritans with sufficient protection from third party lawsuits for sites in which there is a continuing discharge of pollutants as defined by the CWA.  </w:t>
      </w:r>
    </w:p>
    <w:p w:rsidR="007E7EC9" w:rsidRDefault="007E7EC9" w:rsidP="009F2CC2">
      <w:pPr>
        <w:tabs>
          <w:tab w:val="left" w:pos="720"/>
        </w:tabs>
        <w:ind w:left="720"/>
      </w:pPr>
    </w:p>
    <w:p w:rsidR="00AB563F" w:rsidRDefault="007E7EC9" w:rsidP="009F2CC2">
      <w:pPr>
        <w:tabs>
          <w:tab w:val="left" w:pos="720"/>
        </w:tabs>
        <w:ind w:left="720"/>
      </w:pPr>
      <w:r>
        <w:t>Over the past several years, t</w:t>
      </w:r>
      <w:r w:rsidRPr="00F92C43">
        <w:t xml:space="preserve">he Committee has </w:t>
      </w:r>
      <w:r>
        <w:t>worked</w:t>
      </w:r>
      <w:r w:rsidRPr="00F92C43">
        <w:t xml:space="preserve"> to </w:t>
      </w:r>
      <w:r>
        <w:t xml:space="preserve">support Good Samaritan legislation and other efforts to clean up abandoned </w:t>
      </w:r>
      <w:proofErr w:type="spellStart"/>
      <w:r>
        <w:t>hardrock</w:t>
      </w:r>
      <w:proofErr w:type="spellEnd"/>
      <w:r>
        <w:t xml:space="preserve"> mines, including multiple visits with Congress and the Administration, Congressional testimony in support of such legislation, and involvement in a WGA-organized Task Force focused on crafting an exemption for Good Samaritan activities by state governments.  </w:t>
      </w:r>
    </w:p>
    <w:p w:rsidR="00AB563F" w:rsidRDefault="00AB563F" w:rsidP="009F2CC2">
      <w:pPr>
        <w:tabs>
          <w:tab w:val="left" w:pos="720"/>
        </w:tabs>
        <w:ind w:left="720"/>
      </w:pPr>
    </w:p>
    <w:p w:rsidR="00AB563F" w:rsidRDefault="00AB563F" w:rsidP="00AB563F">
      <w:pPr>
        <w:ind w:left="720"/>
        <w:rPr>
          <w:rFonts w:ascii="Arial" w:hAnsi="Arial" w:cs="Arial"/>
        </w:rPr>
      </w:pPr>
      <w:r>
        <w:t>Most recently, i</w:t>
      </w:r>
      <w:r w:rsidR="007E7EC9">
        <w:t xml:space="preserve">n </w:t>
      </w:r>
      <w:r>
        <w:t>December 2012</w:t>
      </w:r>
      <w:r w:rsidR="007E7EC9">
        <w:t xml:space="preserve">, the Environmental Protection Agency (EPA) </w:t>
      </w:r>
      <w:r>
        <w:t>issued</w:t>
      </w:r>
      <w:r w:rsidR="007E7EC9">
        <w:t xml:space="preserve"> a memorandum to clarify administrative protections for Good Samaritans.</w:t>
      </w:r>
      <w:r>
        <w:t xml:space="preserve">  </w:t>
      </w:r>
      <w:r w:rsidRPr="00AB563F">
        <w:rPr>
          <w:lang w:val="en-CA"/>
        </w:rPr>
        <w:fldChar w:fldCharType="begin"/>
      </w:r>
      <w:r w:rsidRPr="00AB563F">
        <w:rPr>
          <w:lang w:val="en-CA"/>
        </w:rPr>
        <w:instrText xml:space="preserve"> SEQ CHAPTER \h \r 1</w:instrText>
      </w:r>
      <w:r w:rsidRPr="00AB563F">
        <w:rPr>
          <w:lang w:val="en-CA"/>
        </w:rPr>
        <w:fldChar w:fldCharType="end"/>
      </w:r>
      <w:r w:rsidRPr="00AB563F">
        <w:t>EPA’s regulations require operators of sites that continue to discharge pollution after cleanup to obtain NPDES permits under the CWA.</w:t>
      </w:r>
      <w:r w:rsidR="00452F6A">
        <w:t xml:space="preserve"> </w:t>
      </w:r>
      <w:r w:rsidRPr="00AB563F">
        <w:t xml:space="preserve"> </w:t>
      </w:r>
      <w:r w:rsidRPr="00AB563F">
        <w:rPr>
          <w:lang w:val="en-CA"/>
        </w:rPr>
        <w:fldChar w:fldCharType="begin"/>
      </w:r>
      <w:r w:rsidRPr="00AB563F">
        <w:rPr>
          <w:lang w:val="en-CA"/>
        </w:rPr>
        <w:instrText xml:space="preserve"> SEQ CHAPTER \h \r 1</w:instrText>
      </w:r>
      <w:r w:rsidRPr="00AB563F">
        <w:rPr>
          <w:lang w:val="en-CA"/>
        </w:rPr>
        <w:fldChar w:fldCharType="end"/>
      </w:r>
      <w:r w:rsidRPr="00AB563F">
        <w:t>The memorandum clarifies that Good Samaritans who complete cleanup efforts pursuant to EPA policies will not be considered “operators” responsible for obtaining NPDES permits if they lack: (1) access and authority to enter the site; (2) an ongoing contractual agreement or relationship with the site owner to control discharges; (3) power or responsibility to make timely discovery of changes to the discharges; (4) power or responsibility to direct persons who control the mechanisms, if any, causing the discharges; and (5) power or responsibility to prevent and abate the environmental damage caused by the discharges.  Nevertheless, the memorandum states that it “...does not address or resolve all potential liability associated with discharges from abandoned mines.”</w:t>
      </w:r>
    </w:p>
    <w:p w:rsidR="007E7EC9" w:rsidRPr="00F92C43" w:rsidRDefault="007E7EC9" w:rsidP="009F2CC2">
      <w:pPr>
        <w:tabs>
          <w:tab w:val="left" w:pos="720"/>
        </w:tabs>
        <w:ind w:left="720"/>
      </w:pPr>
      <w:r>
        <w:t xml:space="preserve">  </w:t>
      </w:r>
    </w:p>
    <w:p w:rsidR="007E7EC9" w:rsidRPr="00F92C43" w:rsidRDefault="00AB563F" w:rsidP="009F2CC2">
      <w:pPr>
        <w:tabs>
          <w:tab w:val="left" w:pos="720"/>
        </w:tabs>
        <w:ind w:left="720"/>
      </w:pPr>
      <w:r>
        <w:rPr>
          <w:b/>
        </w:rPr>
        <w:lastRenderedPageBreak/>
        <w:t>2014</w:t>
      </w:r>
      <w:r w:rsidR="007E7EC9" w:rsidRPr="00F92C43">
        <w:rPr>
          <w:b/>
        </w:rPr>
        <w:t>-</w:t>
      </w:r>
      <w:r w:rsidRPr="00F92C43">
        <w:rPr>
          <w:b/>
        </w:rPr>
        <w:t>201</w:t>
      </w:r>
      <w:r>
        <w:rPr>
          <w:b/>
        </w:rPr>
        <w:t>5</w:t>
      </w:r>
      <w:r w:rsidR="007E7EC9" w:rsidRPr="00F92C43">
        <w:rPr>
          <w:b/>
        </w:rPr>
        <w:t>:</w:t>
      </w:r>
      <w:r w:rsidR="007E7EC9" w:rsidRPr="00F92C43">
        <w:t xml:space="preserve">  The Committee will </w:t>
      </w:r>
      <w:r w:rsidR="007E7EC9">
        <w:t>coordinate with</w:t>
      </w:r>
      <w:r w:rsidR="007E7EC9" w:rsidRPr="00F92C43">
        <w:t xml:space="preserve"> the WGA </w:t>
      </w:r>
      <w:r w:rsidR="007E6456">
        <w:t>and</w:t>
      </w:r>
      <w:r w:rsidR="007E7EC9" w:rsidRPr="00F92C43">
        <w:t xml:space="preserve"> </w:t>
      </w:r>
      <w:r w:rsidR="007E7EC9">
        <w:t>encourage</w:t>
      </w:r>
      <w:r w:rsidR="007E7EC9" w:rsidRPr="00F92C43">
        <w:t xml:space="preserve"> </w:t>
      </w:r>
      <w:r w:rsidR="007E7EC9">
        <w:t xml:space="preserve">efforts to clean up abandoned </w:t>
      </w:r>
      <w:proofErr w:type="spellStart"/>
      <w:r w:rsidR="007E7EC9">
        <w:t>hardrock</w:t>
      </w:r>
      <w:proofErr w:type="spellEnd"/>
      <w:r w:rsidR="007E7EC9">
        <w:t xml:space="preserve"> mines, including but not limited to </w:t>
      </w:r>
      <w:r w:rsidR="007E7EC9" w:rsidRPr="00F92C43">
        <w:t>enactment of Good Sam</w:t>
      </w:r>
      <w:r w:rsidR="007E7EC9">
        <w:t>aritan</w:t>
      </w:r>
      <w:r w:rsidR="007E7EC9" w:rsidRPr="00F92C43">
        <w:t xml:space="preserve"> legislation</w:t>
      </w:r>
      <w:r w:rsidR="00452F6A">
        <w:t xml:space="preserve"> and efforts to support utilization of EPA’s 2012 memorandum</w:t>
      </w:r>
      <w:r w:rsidR="007E7EC9" w:rsidRPr="00F92C43">
        <w:t>.  As part of this effort, the Committee will work with key Congressional members/staff</w:t>
      </w:r>
      <w:r w:rsidR="007E7EC9">
        <w:t>,</w:t>
      </w:r>
      <w:r w:rsidR="007E7EC9" w:rsidRPr="00F92C43">
        <w:t xml:space="preserve"> Administration officials</w:t>
      </w:r>
      <w:r w:rsidR="007E7EC9">
        <w:t xml:space="preserve">, and other stakeholders to develop and support efforts to clean up abandoned </w:t>
      </w:r>
      <w:proofErr w:type="spellStart"/>
      <w:r w:rsidR="007E7EC9">
        <w:t>hardrock</w:t>
      </w:r>
      <w:proofErr w:type="spellEnd"/>
      <w:r w:rsidR="007E7EC9">
        <w:t xml:space="preserve"> mines in accordance with the WGA’s policies. </w:t>
      </w:r>
      <w:r w:rsidR="007E7EC9" w:rsidRPr="00F92C43">
        <w:t xml:space="preserve"> </w:t>
      </w:r>
    </w:p>
    <w:p w:rsidR="007E7EC9" w:rsidRPr="00F92C43" w:rsidRDefault="007E7EC9" w:rsidP="009F2CC2">
      <w:pPr>
        <w:tabs>
          <w:tab w:val="left" w:pos="720"/>
        </w:tabs>
        <w:ind w:left="720"/>
      </w:pPr>
    </w:p>
    <w:p w:rsidR="007E7EC9" w:rsidRPr="00F92C43" w:rsidRDefault="007E7EC9" w:rsidP="009F2CC2">
      <w:pPr>
        <w:tabs>
          <w:tab w:val="left" w:pos="720"/>
        </w:tabs>
        <w:ind w:left="720"/>
      </w:pPr>
      <w:r w:rsidRPr="00F92C43">
        <w:t xml:space="preserve">In addition to the above actions, the Committee will: (1) work with the Administration and Congress to provide liability protections to Good Samaritans under existing authorities; </w:t>
      </w:r>
      <w:r>
        <w:t xml:space="preserve">and </w:t>
      </w:r>
      <w:r w:rsidR="00EA51DC">
        <w:t>(2</w:t>
      </w:r>
      <w:r w:rsidRPr="00F92C43">
        <w:t>) evaluate the prospects for Good Samaritan legislation</w:t>
      </w:r>
      <w:r>
        <w:t>.</w:t>
      </w:r>
      <w:r w:rsidRPr="00F92C43">
        <w:t xml:space="preserve"> </w:t>
      </w:r>
    </w:p>
    <w:p w:rsidR="007E7EC9" w:rsidRPr="00F92C43" w:rsidRDefault="007E7EC9" w:rsidP="009F2CC2">
      <w:pPr>
        <w:tabs>
          <w:tab w:val="left" w:pos="720"/>
        </w:tabs>
        <w:ind w:left="720"/>
      </w:pPr>
      <w:r w:rsidRPr="00F92C43">
        <w:t xml:space="preserve"> </w:t>
      </w:r>
    </w:p>
    <w:p w:rsidR="007E7EC9" w:rsidRPr="00F92C43" w:rsidRDefault="007E7EC9" w:rsidP="009F2CC2">
      <w:pPr>
        <w:tabs>
          <w:tab w:val="left" w:pos="720"/>
        </w:tabs>
        <w:ind w:left="720"/>
      </w:pPr>
      <w:r w:rsidRPr="00F92C43">
        <w:rPr>
          <w:b/>
        </w:rPr>
        <w:t>Time Frame:</w:t>
      </w:r>
      <w:r w:rsidRPr="00F92C43">
        <w:t xml:space="preserve"> Ongoing</w:t>
      </w:r>
    </w:p>
    <w:p w:rsidR="007E7EC9" w:rsidRPr="00F92C43" w:rsidRDefault="007E7EC9" w:rsidP="007E7EC9"/>
    <w:p w:rsidR="007E7EC9" w:rsidRDefault="007E7EC9" w:rsidP="007E7EC9">
      <w:pPr>
        <w:autoSpaceDE w:val="0"/>
        <w:autoSpaceDN w:val="0"/>
        <w:adjustRightInd w:val="0"/>
      </w:pPr>
    </w:p>
    <w:p w:rsidR="007E7EC9" w:rsidRPr="00F46C2F" w:rsidRDefault="007E7EC9" w:rsidP="006E100E">
      <w:pPr>
        <w:autoSpaceDE w:val="0"/>
        <w:autoSpaceDN w:val="0"/>
        <w:adjustRightInd w:val="0"/>
      </w:pPr>
    </w:p>
    <w:p w:rsidR="001F3D72" w:rsidRDefault="001F3D72" w:rsidP="006E100E">
      <w:pPr>
        <w:autoSpaceDE w:val="0"/>
        <w:autoSpaceDN w:val="0"/>
        <w:adjustRightInd w:val="0"/>
        <w:rPr>
          <w:b/>
        </w:rPr>
      </w:pPr>
    </w:p>
    <w:p w:rsidR="007B2BB9" w:rsidRDefault="007B2BB9" w:rsidP="003B4270">
      <w:pPr>
        <w:autoSpaceDE w:val="0"/>
        <w:autoSpaceDN w:val="0"/>
        <w:adjustRightInd w:val="0"/>
      </w:pPr>
    </w:p>
    <w:sectPr w:rsidR="007B2BB9" w:rsidSect="00A205F2">
      <w:headerReference w:type="default" r:id="rId10"/>
      <w:footerReference w:type="even" r:id="rId11"/>
      <w:footerReference w:type="default" r:id="rId12"/>
      <w:pgSz w:w="12240" w:h="15840"/>
      <w:pgMar w:top="1440" w:right="1440" w:bottom="1440"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2C" w:rsidRDefault="00DD552C">
      <w:r>
        <w:separator/>
      </w:r>
    </w:p>
  </w:endnote>
  <w:endnote w:type="continuationSeparator" w:id="0">
    <w:p w:rsidR="00DD552C" w:rsidRDefault="00DD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31" w:rsidRDefault="00C80131" w:rsidP="00950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80131" w:rsidRDefault="00C80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31" w:rsidRDefault="00C80131" w:rsidP="00950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EA8">
      <w:rPr>
        <w:rStyle w:val="PageNumber"/>
        <w:noProof/>
      </w:rPr>
      <w:t>8</w:t>
    </w:r>
    <w:r>
      <w:rPr>
        <w:rStyle w:val="PageNumber"/>
      </w:rPr>
      <w:fldChar w:fldCharType="end"/>
    </w:r>
  </w:p>
  <w:p w:rsidR="00C80131" w:rsidRDefault="00C8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2C" w:rsidRDefault="00DD552C">
      <w:r>
        <w:separator/>
      </w:r>
    </w:p>
  </w:footnote>
  <w:footnote w:type="continuationSeparator" w:id="0">
    <w:p w:rsidR="00DD552C" w:rsidRDefault="00DD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31" w:rsidRDefault="00C80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2CD"/>
    <w:multiLevelType w:val="hybridMultilevel"/>
    <w:tmpl w:val="7A0CA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E01FC2"/>
    <w:multiLevelType w:val="hybridMultilevel"/>
    <w:tmpl w:val="792ACA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8DC434A"/>
    <w:multiLevelType w:val="hybridMultilevel"/>
    <w:tmpl w:val="13ECB65C"/>
    <w:lvl w:ilvl="0" w:tplc="A45A8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BA437C3"/>
    <w:multiLevelType w:val="hybridMultilevel"/>
    <w:tmpl w:val="641A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B1B2C"/>
    <w:multiLevelType w:val="multilevel"/>
    <w:tmpl w:val="369E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9F8"/>
    <w:rsid w:val="000000A7"/>
    <w:rsid w:val="00002151"/>
    <w:rsid w:val="00002B5E"/>
    <w:rsid w:val="000032FA"/>
    <w:rsid w:val="000039D6"/>
    <w:rsid w:val="00006DE8"/>
    <w:rsid w:val="000071AC"/>
    <w:rsid w:val="0001041A"/>
    <w:rsid w:val="0001046D"/>
    <w:rsid w:val="000109F0"/>
    <w:rsid w:val="0001216E"/>
    <w:rsid w:val="00012530"/>
    <w:rsid w:val="000150D7"/>
    <w:rsid w:val="00016E0B"/>
    <w:rsid w:val="00016F55"/>
    <w:rsid w:val="0001787A"/>
    <w:rsid w:val="00020898"/>
    <w:rsid w:val="000224AE"/>
    <w:rsid w:val="0002259B"/>
    <w:rsid w:val="0002295D"/>
    <w:rsid w:val="000245E4"/>
    <w:rsid w:val="00026BC5"/>
    <w:rsid w:val="00027297"/>
    <w:rsid w:val="000277BB"/>
    <w:rsid w:val="000303ED"/>
    <w:rsid w:val="0003123E"/>
    <w:rsid w:val="000312AA"/>
    <w:rsid w:val="000320CA"/>
    <w:rsid w:val="000336B0"/>
    <w:rsid w:val="000367E1"/>
    <w:rsid w:val="0004021B"/>
    <w:rsid w:val="00044380"/>
    <w:rsid w:val="00045002"/>
    <w:rsid w:val="000457CC"/>
    <w:rsid w:val="000463C8"/>
    <w:rsid w:val="00047C0B"/>
    <w:rsid w:val="00047D2D"/>
    <w:rsid w:val="00047FED"/>
    <w:rsid w:val="00051E45"/>
    <w:rsid w:val="00052E2F"/>
    <w:rsid w:val="00053284"/>
    <w:rsid w:val="00054921"/>
    <w:rsid w:val="00054B86"/>
    <w:rsid w:val="00056632"/>
    <w:rsid w:val="00056FA3"/>
    <w:rsid w:val="000576B0"/>
    <w:rsid w:val="00060136"/>
    <w:rsid w:val="00061474"/>
    <w:rsid w:val="00061620"/>
    <w:rsid w:val="00061D9E"/>
    <w:rsid w:val="0006210A"/>
    <w:rsid w:val="00063B28"/>
    <w:rsid w:val="00063DED"/>
    <w:rsid w:val="000641CB"/>
    <w:rsid w:val="0006651E"/>
    <w:rsid w:val="000665B3"/>
    <w:rsid w:val="000665FA"/>
    <w:rsid w:val="000702F0"/>
    <w:rsid w:val="00070530"/>
    <w:rsid w:val="000705B6"/>
    <w:rsid w:val="00070700"/>
    <w:rsid w:val="00070F20"/>
    <w:rsid w:val="0007194D"/>
    <w:rsid w:val="00072D4E"/>
    <w:rsid w:val="000743F8"/>
    <w:rsid w:val="000753A8"/>
    <w:rsid w:val="00076F76"/>
    <w:rsid w:val="000814E9"/>
    <w:rsid w:val="00081BA7"/>
    <w:rsid w:val="00082A89"/>
    <w:rsid w:val="00082FBB"/>
    <w:rsid w:val="0008303B"/>
    <w:rsid w:val="00084541"/>
    <w:rsid w:val="00084A3C"/>
    <w:rsid w:val="00085BBF"/>
    <w:rsid w:val="00086050"/>
    <w:rsid w:val="00086542"/>
    <w:rsid w:val="00086B34"/>
    <w:rsid w:val="00087857"/>
    <w:rsid w:val="00090967"/>
    <w:rsid w:val="00091251"/>
    <w:rsid w:val="000917DB"/>
    <w:rsid w:val="00091908"/>
    <w:rsid w:val="0009198A"/>
    <w:rsid w:val="00092024"/>
    <w:rsid w:val="00092C61"/>
    <w:rsid w:val="00093E29"/>
    <w:rsid w:val="000956BE"/>
    <w:rsid w:val="0009581B"/>
    <w:rsid w:val="00096015"/>
    <w:rsid w:val="000963D7"/>
    <w:rsid w:val="000972E2"/>
    <w:rsid w:val="00097477"/>
    <w:rsid w:val="00097C10"/>
    <w:rsid w:val="000A2919"/>
    <w:rsid w:val="000A2EFE"/>
    <w:rsid w:val="000A3712"/>
    <w:rsid w:val="000A3754"/>
    <w:rsid w:val="000A44B3"/>
    <w:rsid w:val="000A4803"/>
    <w:rsid w:val="000A5F6B"/>
    <w:rsid w:val="000A60C1"/>
    <w:rsid w:val="000A7B2A"/>
    <w:rsid w:val="000A7CFA"/>
    <w:rsid w:val="000B34B1"/>
    <w:rsid w:val="000B392B"/>
    <w:rsid w:val="000B69F0"/>
    <w:rsid w:val="000B6D67"/>
    <w:rsid w:val="000B715B"/>
    <w:rsid w:val="000B79F5"/>
    <w:rsid w:val="000C1315"/>
    <w:rsid w:val="000C2199"/>
    <w:rsid w:val="000C29A9"/>
    <w:rsid w:val="000C42CA"/>
    <w:rsid w:val="000C474E"/>
    <w:rsid w:val="000C772A"/>
    <w:rsid w:val="000C79A0"/>
    <w:rsid w:val="000D1B8D"/>
    <w:rsid w:val="000D3972"/>
    <w:rsid w:val="000D5089"/>
    <w:rsid w:val="000D5A4B"/>
    <w:rsid w:val="000D6347"/>
    <w:rsid w:val="000D67EA"/>
    <w:rsid w:val="000D688A"/>
    <w:rsid w:val="000D6EDB"/>
    <w:rsid w:val="000E230F"/>
    <w:rsid w:val="000E265D"/>
    <w:rsid w:val="000E487E"/>
    <w:rsid w:val="000E5CDE"/>
    <w:rsid w:val="000F069B"/>
    <w:rsid w:val="000F0F7D"/>
    <w:rsid w:val="000F12BD"/>
    <w:rsid w:val="000F184C"/>
    <w:rsid w:val="000F1B58"/>
    <w:rsid w:val="000F2BB4"/>
    <w:rsid w:val="000F2FEF"/>
    <w:rsid w:val="000F4711"/>
    <w:rsid w:val="000F4C17"/>
    <w:rsid w:val="000F6C55"/>
    <w:rsid w:val="000F6F9D"/>
    <w:rsid w:val="00100727"/>
    <w:rsid w:val="00103276"/>
    <w:rsid w:val="001043B1"/>
    <w:rsid w:val="0010510B"/>
    <w:rsid w:val="001052E2"/>
    <w:rsid w:val="001061BC"/>
    <w:rsid w:val="0010735A"/>
    <w:rsid w:val="00107663"/>
    <w:rsid w:val="00107B0B"/>
    <w:rsid w:val="00107FB2"/>
    <w:rsid w:val="001107CF"/>
    <w:rsid w:val="00110C1E"/>
    <w:rsid w:val="00111904"/>
    <w:rsid w:val="00111CD8"/>
    <w:rsid w:val="00111EA8"/>
    <w:rsid w:val="001133AC"/>
    <w:rsid w:val="00114186"/>
    <w:rsid w:val="001144BC"/>
    <w:rsid w:val="00115091"/>
    <w:rsid w:val="001158C8"/>
    <w:rsid w:val="001159C5"/>
    <w:rsid w:val="00116312"/>
    <w:rsid w:val="00116702"/>
    <w:rsid w:val="00117106"/>
    <w:rsid w:val="00117C66"/>
    <w:rsid w:val="001206BB"/>
    <w:rsid w:val="00122354"/>
    <w:rsid w:val="00122536"/>
    <w:rsid w:val="001229F5"/>
    <w:rsid w:val="00122C17"/>
    <w:rsid w:val="00124CDE"/>
    <w:rsid w:val="001252AC"/>
    <w:rsid w:val="001272D7"/>
    <w:rsid w:val="00131C77"/>
    <w:rsid w:val="001321B0"/>
    <w:rsid w:val="0013286E"/>
    <w:rsid w:val="00133497"/>
    <w:rsid w:val="001353C3"/>
    <w:rsid w:val="00135D38"/>
    <w:rsid w:val="001375C0"/>
    <w:rsid w:val="00137FEA"/>
    <w:rsid w:val="0014308D"/>
    <w:rsid w:val="00143E64"/>
    <w:rsid w:val="00147004"/>
    <w:rsid w:val="00147878"/>
    <w:rsid w:val="00152D4C"/>
    <w:rsid w:val="001531F9"/>
    <w:rsid w:val="001537C2"/>
    <w:rsid w:val="00154849"/>
    <w:rsid w:val="0015638F"/>
    <w:rsid w:val="00157222"/>
    <w:rsid w:val="00157700"/>
    <w:rsid w:val="001622E3"/>
    <w:rsid w:val="00163037"/>
    <w:rsid w:val="00163A92"/>
    <w:rsid w:val="00164308"/>
    <w:rsid w:val="00164E95"/>
    <w:rsid w:val="001656EC"/>
    <w:rsid w:val="00165C22"/>
    <w:rsid w:val="00166BAD"/>
    <w:rsid w:val="00170CF3"/>
    <w:rsid w:val="00172DDC"/>
    <w:rsid w:val="001746F1"/>
    <w:rsid w:val="00175532"/>
    <w:rsid w:val="0017574F"/>
    <w:rsid w:val="00176795"/>
    <w:rsid w:val="00176ADC"/>
    <w:rsid w:val="00177261"/>
    <w:rsid w:val="00180EAE"/>
    <w:rsid w:val="00180F97"/>
    <w:rsid w:val="00185AA1"/>
    <w:rsid w:val="00185BA5"/>
    <w:rsid w:val="001861E1"/>
    <w:rsid w:val="00186F35"/>
    <w:rsid w:val="001878C8"/>
    <w:rsid w:val="00190289"/>
    <w:rsid w:val="00190FE4"/>
    <w:rsid w:val="00191A79"/>
    <w:rsid w:val="001932F7"/>
    <w:rsid w:val="00196066"/>
    <w:rsid w:val="0019768F"/>
    <w:rsid w:val="001A10BB"/>
    <w:rsid w:val="001A17DF"/>
    <w:rsid w:val="001A22DF"/>
    <w:rsid w:val="001A2323"/>
    <w:rsid w:val="001A2B7D"/>
    <w:rsid w:val="001A346F"/>
    <w:rsid w:val="001A4957"/>
    <w:rsid w:val="001A4A61"/>
    <w:rsid w:val="001A689B"/>
    <w:rsid w:val="001A7D6A"/>
    <w:rsid w:val="001B0106"/>
    <w:rsid w:val="001B4ACB"/>
    <w:rsid w:val="001B548C"/>
    <w:rsid w:val="001B5895"/>
    <w:rsid w:val="001B6A7D"/>
    <w:rsid w:val="001B754D"/>
    <w:rsid w:val="001C0AAE"/>
    <w:rsid w:val="001C2482"/>
    <w:rsid w:val="001C4873"/>
    <w:rsid w:val="001C57DB"/>
    <w:rsid w:val="001C5CA6"/>
    <w:rsid w:val="001C6B05"/>
    <w:rsid w:val="001C6E35"/>
    <w:rsid w:val="001D197E"/>
    <w:rsid w:val="001D2019"/>
    <w:rsid w:val="001D278B"/>
    <w:rsid w:val="001D310E"/>
    <w:rsid w:val="001D4A6A"/>
    <w:rsid w:val="001D63E9"/>
    <w:rsid w:val="001D6C41"/>
    <w:rsid w:val="001D726D"/>
    <w:rsid w:val="001D7C1B"/>
    <w:rsid w:val="001E035C"/>
    <w:rsid w:val="001E0535"/>
    <w:rsid w:val="001E193C"/>
    <w:rsid w:val="001E1DC7"/>
    <w:rsid w:val="001E2E9C"/>
    <w:rsid w:val="001E6EE9"/>
    <w:rsid w:val="001E75D6"/>
    <w:rsid w:val="001E75E0"/>
    <w:rsid w:val="001F06F1"/>
    <w:rsid w:val="001F07FE"/>
    <w:rsid w:val="001F1A43"/>
    <w:rsid w:val="001F23A0"/>
    <w:rsid w:val="001F3D72"/>
    <w:rsid w:val="001F48FD"/>
    <w:rsid w:val="001F5436"/>
    <w:rsid w:val="001F67FA"/>
    <w:rsid w:val="00200A02"/>
    <w:rsid w:val="00201657"/>
    <w:rsid w:val="0020272E"/>
    <w:rsid w:val="002033CC"/>
    <w:rsid w:val="00204E12"/>
    <w:rsid w:val="002068BC"/>
    <w:rsid w:val="00210847"/>
    <w:rsid w:val="00211E44"/>
    <w:rsid w:val="0021366B"/>
    <w:rsid w:val="0021492C"/>
    <w:rsid w:val="00214D4F"/>
    <w:rsid w:val="00215ECB"/>
    <w:rsid w:val="00217051"/>
    <w:rsid w:val="0021751F"/>
    <w:rsid w:val="00221385"/>
    <w:rsid w:val="002222A0"/>
    <w:rsid w:val="002234E6"/>
    <w:rsid w:val="002245DA"/>
    <w:rsid w:val="00224EEB"/>
    <w:rsid w:val="002262BD"/>
    <w:rsid w:val="00226414"/>
    <w:rsid w:val="00227521"/>
    <w:rsid w:val="0023264D"/>
    <w:rsid w:val="00233B72"/>
    <w:rsid w:val="00234875"/>
    <w:rsid w:val="00235A0E"/>
    <w:rsid w:val="00235E02"/>
    <w:rsid w:val="002364CB"/>
    <w:rsid w:val="00237684"/>
    <w:rsid w:val="00240B33"/>
    <w:rsid w:val="00241ACF"/>
    <w:rsid w:val="00242804"/>
    <w:rsid w:val="00243220"/>
    <w:rsid w:val="00243549"/>
    <w:rsid w:val="00243B4E"/>
    <w:rsid w:val="00244BF0"/>
    <w:rsid w:val="002450AC"/>
    <w:rsid w:val="00245A68"/>
    <w:rsid w:val="00246A7D"/>
    <w:rsid w:val="00250C09"/>
    <w:rsid w:val="00250D86"/>
    <w:rsid w:val="00250DDE"/>
    <w:rsid w:val="00252799"/>
    <w:rsid w:val="002531C1"/>
    <w:rsid w:val="00253626"/>
    <w:rsid w:val="00253697"/>
    <w:rsid w:val="00254474"/>
    <w:rsid w:val="0025531C"/>
    <w:rsid w:val="00256DCE"/>
    <w:rsid w:val="00256FC1"/>
    <w:rsid w:val="0026072C"/>
    <w:rsid w:val="00260A3F"/>
    <w:rsid w:val="00261C42"/>
    <w:rsid w:val="00261C84"/>
    <w:rsid w:val="00261EB1"/>
    <w:rsid w:val="002630E0"/>
    <w:rsid w:val="0026327E"/>
    <w:rsid w:val="0026354F"/>
    <w:rsid w:val="00263DEC"/>
    <w:rsid w:val="00267264"/>
    <w:rsid w:val="00270D4F"/>
    <w:rsid w:val="002720EC"/>
    <w:rsid w:val="00272E78"/>
    <w:rsid w:val="00273809"/>
    <w:rsid w:val="00276375"/>
    <w:rsid w:val="0027673E"/>
    <w:rsid w:val="002776AF"/>
    <w:rsid w:val="002777A8"/>
    <w:rsid w:val="00277E40"/>
    <w:rsid w:val="0028076E"/>
    <w:rsid w:val="002817D7"/>
    <w:rsid w:val="00281DBD"/>
    <w:rsid w:val="00282561"/>
    <w:rsid w:val="0028432F"/>
    <w:rsid w:val="00284669"/>
    <w:rsid w:val="00284EB9"/>
    <w:rsid w:val="00285774"/>
    <w:rsid w:val="00291A5C"/>
    <w:rsid w:val="00293BCC"/>
    <w:rsid w:val="00297227"/>
    <w:rsid w:val="00297815"/>
    <w:rsid w:val="00297DE8"/>
    <w:rsid w:val="002A144C"/>
    <w:rsid w:val="002A1755"/>
    <w:rsid w:val="002A2117"/>
    <w:rsid w:val="002A23E9"/>
    <w:rsid w:val="002A2644"/>
    <w:rsid w:val="002A466D"/>
    <w:rsid w:val="002A5F28"/>
    <w:rsid w:val="002A6564"/>
    <w:rsid w:val="002B07AA"/>
    <w:rsid w:val="002B0EEE"/>
    <w:rsid w:val="002B16BA"/>
    <w:rsid w:val="002B2C10"/>
    <w:rsid w:val="002B4312"/>
    <w:rsid w:val="002B4EC0"/>
    <w:rsid w:val="002B588B"/>
    <w:rsid w:val="002B6659"/>
    <w:rsid w:val="002B6B82"/>
    <w:rsid w:val="002B7430"/>
    <w:rsid w:val="002B79A8"/>
    <w:rsid w:val="002B7A24"/>
    <w:rsid w:val="002C0313"/>
    <w:rsid w:val="002C1068"/>
    <w:rsid w:val="002C1974"/>
    <w:rsid w:val="002C2B45"/>
    <w:rsid w:val="002C3A20"/>
    <w:rsid w:val="002C5FD0"/>
    <w:rsid w:val="002C78DA"/>
    <w:rsid w:val="002D0116"/>
    <w:rsid w:val="002D0560"/>
    <w:rsid w:val="002D23AC"/>
    <w:rsid w:val="002D673A"/>
    <w:rsid w:val="002D6C1E"/>
    <w:rsid w:val="002E09E6"/>
    <w:rsid w:val="002E1CE0"/>
    <w:rsid w:val="002E2EF4"/>
    <w:rsid w:val="002E4093"/>
    <w:rsid w:val="002E5066"/>
    <w:rsid w:val="002E5D07"/>
    <w:rsid w:val="002E66EE"/>
    <w:rsid w:val="002F2734"/>
    <w:rsid w:val="002F2E90"/>
    <w:rsid w:val="002F2F17"/>
    <w:rsid w:val="002F3FA1"/>
    <w:rsid w:val="002F453C"/>
    <w:rsid w:val="002F454E"/>
    <w:rsid w:val="002F7F66"/>
    <w:rsid w:val="003003A9"/>
    <w:rsid w:val="00301749"/>
    <w:rsid w:val="003029A4"/>
    <w:rsid w:val="00302D56"/>
    <w:rsid w:val="0030347F"/>
    <w:rsid w:val="003041B0"/>
    <w:rsid w:val="00304C34"/>
    <w:rsid w:val="00306DF4"/>
    <w:rsid w:val="00307BA8"/>
    <w:rsid w:val="0031048E"/>
    <w:rsid w:val="00312F50"/>
    <w:rsid w:val="00313048"/>
    <w:rsid w:val="00313146"/>
    <w:rsid w:val="00313DFD"/>
    <w:rsid w:val="00314068"/>
    <w:rsid w:val="00315A25"/>
    <w:rsid w:val="00317108"/>
    <w:rsid w:val="00317603"/>
    <w:rsid w:val="003210A1"/>
    <w:rsid w:val="003212DF"/>
    <w:rsid w:val="00321B44"/>
    <w:rsid w:val="00322E1B"/>
    <w:rsid w:val="00322F90"/>
    <w:rsid w:val="003230EA"/>
    <w:rsid w:val="00323F02"/>
    <w:rsid w:val="00324A46"/>
    <w:rsid w:val="00325D51"/>
    <w:rsid w:val="00326714"/>
    <w:rsid w:val="0032767D"/>
    <w:rsid w:val="00327AA6"/>
    <w:rsid w:val="00330B25"/>
    <w:rsid w:val="00330D81"/>
    <w:rsid w:val="003310E0"/>
    <w:rsid w:val="003318BC"/>
    <w:rsid w:val="00331BE8"/>
    <w:rsid w:val="00332AD0"/>
    <w:rsid w:val="00332DBF"/>
    <w:rsid w:val="003333C7"/>
    <w:rsid w:val="0033420B"/>
    <w:rsid w:val="003356A1"/>
    <w:rsid w:val="00335849"/>
    <w:rsid w:val="00335EDC"/>
    <w:rsid w:val="00336CE7"/>
    <w:rsid w:val="00343A0D"/>
    <w:rsid w:val="003448E8"/>
    <w:rsid w:val="00346255"/>
    <w:rsid w:val="00346A56"/>
    <w:rsid w:val="00350622"/>
    <w:rsid w:val="003528F0"/>
    <w:rsid w:val="00354A1D"/>
    <w:rsid w:val="0035595A"/>
    <w:rsid w:val="00356BD0"/>
    <w:rsid w:val="0035770F"/>
    <w:rsid w:val="00360491"/>
    <w:rsid w:val="00360959"/>
    <w:rsid w:val="00360965"/>
    <w:rsid w:val="00362C2D"/>
    <w:rsid w:val="00362C80"/>
    <w:rsid w:val="00363BCE"/>
    <w:rsid w:val="00364C11"/>
    <w:rsid w:val="003662B7"/>
    <w:rsid w:val="0036634A"/>
    <w:rsid w:val="00366829"/>
    <w:rsid w:val="0036793B"/>
    <w:rsid w:val="00367A8D"/>
    <w:rsid w:val="003707AA"/>
    <w:rsid w:val="0037092A"/>
    <w:rsid w:val="00371213"/>
    <w:rsid w:val="00371BDD"/>
    <w:rsid w:val="00372516"/>
    <w:rsid w:val="00375599"/>
    <w:rsid w:val="00376699"/>
    <w:rsid w:val="0037707E"/>
    <w:rsid w:val="003860F2"/>
    <w:rsid w:val="003869EC"/>
    <w:rsid w:val="00387F5D"/>
    <w:rsid w:val="003900D1"/>
    <w:rsid w:val="00390793"/>
    <w:rsid w:val="00391470"/>
    <w:rsid w:val="003915AC"/>
    <w:rsid w:val="003922E8"/>
    <w:rsid w:val="0039340A"/>
    <w:rsid w:val="00393C68"/>
    <w:rsid w:val="003972D5"/>
    <w:rsid w:val="0039733A"/>
    <w:rsid w:val="003A026F"/>
    <w:rsid w:val="003A0884"/>
    <w:rsid w:val="003A1476"/>
    <w:rsid w:val="003A2CE7"/>
    <w:rsid w:val="003A391F"/>
    <w:rsid w:val="003A3EEE"/>
    <w:rsid w:val="003A4AB9"/>
    <w:rsid w:val="003A5A15"/>
    <w:rsid w:val="003A6BB4"/>
    <w:rsid w:val="003A6C91"/>
    <w:rsid w:val="003A77A4"/>
    <w:rsid w:val="003A7C0F"/>
    <w:rsid w:val="003A7F4B"/>
    <w:rsid w:val="003B20B7"/>
    <w:rsid w:val="003B228F"/>
    <w:rsid w:val="003B4270"/>
    <w:rsid w:val="003B4D08"/>
    <w:rsid w:val="003B4E7F"/>
    <w:rsid w:val="003B535F"/>
    <w:rsid w:val="003B551B"/>
    <w:rsid w:val="003B60A8"/>
    <w:rsid w:val="003B775B"/>
    <w:rsid w:val="003C12F6"/>
    <w:rsid w:val="003C19FB"/>
    <w:rsid w:val="003C394C"/>
    <w:rsid w:val="003C3E49"/>
    <w:rsid w:val="003C482E"/>
    <w:rsid w:val="003C4D56"/>
    <w:rsid w:val="003C560C"/>
    <w:rsid w:val="003C5883"/>
    <w:rsid w:val="003C679B"/>
    <w:rsid w:val="003C6CDC"/>
    <w:rsid w:val="003C7A03"/>
    <w:rsid w:val="003D0050"/>
    <w:rsid w:val="003D1634"/>
    <w:rsid w:val="003D20B1"/>
    <w:rsid w:val="003D3478"/>
    <w:rsid w:val="003D53AD"/>
    <w:rsid w:val="003D55EE"/>
    <w:rsid w:val="003D72EC"/>
    <w:rsid w:val="003E0014"/>
    <w:rsid w:val="003E0048"/>
    <w:rsid w:val="003E179A"/>
    <w:rsid w:val="003E198C"/>
    <w:rsid w:val="003E266F"/>
    <w:rsid w:val="003E2C46"/>
    <w:rsid w:val="003E5AC3"/>
    <w:rsid w:val="003E6FF6"/>
    <w:rsid w:val="003F495F"/>
    <w:rsid w:val="003F516C"/>
    <w:rsid w:val="003F521E"/>
    <w:rsid w:val="003F5590"/>
    <w:rsid w:val="003F571E"/>
    <w:rsid w:val="0040093C"/>
    <w:rsid w:val="004037EB"/>
    <w:rsid w:val="0040446F"/>
    <w:rsid w:val="00404800"/>
    <w:rsid w:val="0040579B"/>
    <w:rsid w:val="004057FB"/>
    <w:rsid w:val="004073B7"/>
    <w:rsid w:val="00410304"/>
    <w:rsid w:val="004103AE"/>
    <w:rsid w:val="004104F4"/>
    <w:rsid w:val="00410B11"/>
    <w:rsid w:val="0041382F"/>
    <w:rsid w:val="00413E7F"/>
    <w:rsid w:val="00414A43"/>
    <w:rsid w:val="004153C1"/>
    <w:rsid w:val="00416517"/>
    <w:rsid w:val="00417512"/>
    <w:rsid w:val="00417834"/>
    <w:rsid w:val="00421160"/>
    <w:rsid w:val="004225E5"/>
    <w:rsid w:val="00423AF9"/>
    <w:rsid w:val="00423ECF"/>
    <w:rsid w:val="00430EA8"/>
    <w:rsid w:val="004312F7"/>
    <w:rsid w:val="00431579"/>
    <w:rsid w:val="00431A79"/>
    <w:rsid w:val="00434F6E"/>
    <w:rsid w:val="004370B5"/>
    <w:rsid w:val="00440F70"/>
    <w:rsid w:val="00441362"/>
    <w:rsid w:val="004426CC"/>
    <w:rsid w:val="00442B97"/>
    <w:rsid w:val="0044343E"/>
    <w:rsid w:val="004435BA"/>
    <w:rsid w:val="00443CC6"/>
    <w:rsid w:val="00443FA5"/>
    <w:rsid w:val="00444732"/>
    <w:rsid w:val="00445EFE"/>
    <w:rsid w:val="00447619"/>
    <w:rsid w:val="00447BD1"/>
    <w:rsid w:val="004503DA"/>
    <w:rsid w:val="00452F6A"/>
    <w:rsid w:val="004537B4"/>
    <w:rsid w:val="00453AC7"/>
    <w:rsid w:val="00455064"/>
    <w:rsid w:val="004600E8"/>
    <w:rsid w:val="00460D34"/>
    <w:rsid w:val="00460EDF"/>
    <w:rsid w:val="00461D36"/>
    <w:rsid w:val="0046245D"/>
    <w:rsid w:val="00462E9C"/>
    <w:rsid w:val="00463242"/>
    <w:rsid w:val="0046494F"/>
    <w:rsid w:val="00464AA9"/>
    <w:rsid w:val="00472355"/>
    <w:rsid w:val="00472C97"/>
    <w:rsid w:val="004736C6"/>
    <w:rsid w:val="0047506B"/>
    <w:rsid w:val="004754C9"/>
    <w:rsid w:val="00475C88"/>
    <w:rsid w:val="0047640D"/>
    <w:rsid w:val="0047647C"/>
    <w:rsid w:val="004771D4"/>
    <w:rsid w:val="00477389"/>
    <w:rsid w:val="004806A7"/>
    <w:rsid w:val="00480830"/>
    <w:rsid w:val="00481656"/>
    <w:rsid w:val="0048531C"/>
    <w:rsid w:val="00486E9B"/>
    <w:rsid w:val="00490C10"/>
    <w:rsid w:val="004913B4"/>
    <w:rsid w:val="00491CBC"/>
    <w:rsid w:val="00491F4E"/>
    <w:rsid w:val="004927CF"/>
    <w:rsid w:val="00492AC2"/>
    <w:rsid w:val="0049329E"/>
    <w:rsid w:val="0049399C"/>
    <w:rsid w:val="00493C97"/>
    <w:rsid w:val="00495D1D"/>
    <w:rsid w:val="0049624C"/>
    <w:rsid w:val="00496BAC"/>
    <w:rsid w:val="004970D0"/>
    <w:rsid w:val="004979C3"/>
    <w:rsid w:val="00497D50"/>
    <w:rsid w:val="004A016D"/>
    <w:rsid w:val="004A01F3"/>
    <w:rsid w:val="004A15D0"/>
    <w:rsid w:val="004A15E4"/>
    <w:rsid w:val="004A2501"/>
    <w:rsid w:val="004A2EED"/>
    <w:rsid w:val="004A3083"/>
    <w:rsid w:val="004A3344"/>
    <w:rsid w:val="004A48EB"/>
    <w:rsid w:val="004A62EA"/>
    <w:rsid w:val="004B0107"/>
    <w:rsid w:val="004B2886"/>
    <w:rsid w:val="004B3418"/>
    <w:rsid w:val="004B3513"/>
    <w:rsid w:val="004B7D1C"/>
    <w:rsid w:val="004C07F1"/>
    <w:rsid w:val="004C144A"/>
    <w:rsid w:val="004C1C33"/>
    <w:rsid w:val="004C1F11"/>
    <w:rsid w:val="004C339B"/>
    <w:rsid w:val="004C3F89"/>
    <w:rsid w:val="004C5667"/>
    <w:rsid w:val="004C7601"/>
    <w:rsid w:val="004D188E"/>
    <w:rsid w:val="004D1CF5"/>
    <w:rsid w:val="004D299F"/>
    <w:rsid w:val="004D2B56"/>
    <w:rsid w:val="004D2C7C"/>
    <w:rsid w:val="004D3BDB"/>
    <w:rsid w:val="004D44D6"/>
    <w:rsid w:val="004D5392"/>
    <w:rsid w:val="004D584C"/>
    <w:rsid w:val="004E128C"/>
    <w:rsid w:val="004E12F2"/>
    <w:rsid w:val="004E3CCA"/>
    <w:rsid w:val="004E55BF"/>
    <w:rsid w:val="004E719B"/>
    <w:rsid w:val="004F0886"/>
    <w:rsid w:val="004F12F2"/>
    <w:rsid w:val="004F1CA6"/>
    <w:rsid w:val="004F29D8"/>
    <w:rsid w:val="004F31AF"/>
    <w:rsid w:val="004F3919"/>
    <w:rsid w:val="004F538E"/>
    <w:rsid w:val="004F5CA2"/>
    <w:rsid w:val="004F6F12"/>
    <w:rsid w:val="00504B08"/>
    <w:rsid w:val="00507677"/>
    <w:rsid w:val="00507B43"/>
    <w:rsid w:val="0051059F"/>
    <w:rsid w:val="00510EBF"/>
    <w:rsid w:val="00511D8A"/>
    <w:rsid w:val="0051206E"/>
    <w:rsid w:val="005128B2"/>
    <w:rsid w:val="00513E6F"/>
    <w:rsid w:val="005143F1"/>
    <w:rsid w:val="00514FF0"/>
    <w:rsid w:val="005153B6"/>
    <w:rsid w:val="00515734"/>
    <w:rsid w:val="00515AEA"/>
    <w:rsid w:val="00517C1A"/>
    <w:rsid w:val="00517F5F"/>
    <w:rsid w:val="00520176"/>
    <w:rsid w:val="005228FD"/>
    <w:rsid w:val="00522CB4"/>
    <w:rsid w:val="00523346"/>
    <w:rsid w:val="005237D1"/>
    <w:rsid w:val="00523923"/>
    <w:rsid w:val="00523B72"/>
    <w:rsid w:val="005251F8"/>
    <w:rsid w:val="0052590E"/>
    <w:rsid w:val="00525FAD"/>
    <w:rsid w:val="005304F0"/>
    <w:rsid w:val="00530A6E"/>
    <w:rsid w:val="00530F80"/>
    <w:rsid w:val="00535128"/>
    <w:rsid w:val="005351D8"/>
    <w:rsid w:val="00535286"/>
    <w:rsid w:val="005365F9"/>
    <w:rsid w:val="005368E6"/>
    <w:rsid w:val="005369F7"/>
    <w:rsid w:val="00536BC7"/>
    <w:rsid w:val="00537D81"/>
    <w:rsid w:val="00540428"/>
    <w:rsid w:val="005406DD"/>
    <w:rsid w:val="00540CAC"/>
    <w:rsid w:val="00541075"/>
    <w:rsid w:val="00542C72"/>
    <w:rsid w:val="00543288"/>
    <w:rsid w:val="0054333C"/>
    <w:rsid w:val="0054362B"/>
    <w:rsid w:val="0054491D"/>
    <w:rsid w:val="00544AF1"/>
    <w:rsid w:val="00546410"/>
    <w:rsid w:val="005464E5"/>
    <w:rsid w:val="0054657E"/>
    <w:rsid w:val="00547383"/>
    <w:rsid w:val="00547F27"/>
    <w:rsid w:val="0055007B"/>
    <w:rsid w:val="00551059"/>
    <w:rsid w:val="00551F4B"/>
    <w:rsid w:val="00552FF6"/>
    <w:rsid w:val="005539A8"/>
    <w:rsid w:val="00553D69"/>
    <w:rsid w:val="00554060"/>
    <w:rsid w:val="00556A46"/>
    <w:rsid w:val="00557B55"/>
    <w:rsid w:val="0056000A"/>
    <w:rsid w:val="0056082B"/>
    <w:rsid w:val="00560AF3"/>
    <w:rsid w:val="00560E10"/>
    <w:rsid w:val="005633A9"/>
    <w:rsid w:val="005637A7"/>
    <w:rsid w:val="00564245"/>
    <w:rsid w:val="00564819"/>
    <w:rsid w:val="005649B8"/>
    <w:rsid w:val="005660A3"/>
    <w:rsid w:val="00567645"/>
    <w:rsid w:val="00567700"/>
    <w:rsid w:val="0057047C"/>
    <w:rsid w:val="00570733"/>
    <w:rsid w:val="005708A2"/>
    <w:rsid w:val="00570ACF"/>
    <w:rsid w:val="00571F3E"/>
    <w:rsid w:val="005723C3"/>
    <w:rsid w:val="005723E1"/>
    <w:rsid w:val="00573115"/>
    <w:rsid w:val="00574E1C"/>
    <w:rsid w:val="0057608F"/>
    <w:rsid w:val="00576465"/>
    <w:rsid w:val="0058018A"/>
    <w:rsid w:val="00580331"/>
    <w:rsid w:val="00580B5B"/>
    <w:rsid w:val="005813DB"/>
    <w:rsid w:val="00581416"/>
    <w:rsid w:val="005830D5"/>
    <w:rsid w:val="00584243"/>
    <w:rsid w:val="005857EC"/>
    <w:rsid w:val="00585F7E"/>
    <w:rsid w:val="0058641D"/>
    <w:rsid w:val="00586445"/>
    <w:rsid w:val="005864CB"/>
    <w:rsid w:val="0058733A"/>
    <w:rsid w:val="00587597"/>
    <w:rsid w:val="00587E90"/>
    <w:rsid w:val="00587F1C"/>
    <w:rsid w:val="00590812"/>
    <w:rsid w:val="00590D3D"/>
    <w:rsid w:val="005911E2"/>
    <w:rsid w:val="00591263"/>
    <w:rsid w:val="0059138E"/>
    <w:rsid w:val="0059192B"/>
    <w:rsid w:val="00592745"/>
    <w:rsid w:val="005939F2"/>
    <w:rsid w:val="00595488"/>
    <w:rsid w:val="00595F97"/>
    <w:rsid w:val="005A17B2"/>
    <w:rsid w:val="005A1D57"/>
    <w:rsid w:val="005A21B9"/>
    <w:rsid w:val="005A2603"/>
    <w:rsid w:val="005A29F8"/>
    <w:rsid w:val="005A3671"/>
    <w:rsid w:val="005A4C45"/>
    <w:rsid w:val="005A6063"/>
    <w:rsid w:val="005B04B5"/>
    <w:rsid w:val="005B3999"/>
    <w:rsid w:val="005B5D72"/>
    <w:rsid w:val="005B7B5F"/>
    <w:rsid w:val="005C1EFE"/>
    <w:rsid w:val="005C30A6"/>
    <w:rsid w:val="005C425D"/>
    <w:rsid w:val="005C46FC"/>
    <w:rsid w:val="005C51C2"/>
    <w:rsid w:val="005C52AF"/>
    <w:rsid w:val="005C5BFF"/>
    <w:rsid w:val="005C6E9D"/>
    <w:rsid w:val="005C7AA3"/>
    <w:rsid w:val="005D0654"/>
    <w:rsid w:val="005D147C"/>
    <w:rsid w:val="005D19F3"/>
    <w:rsid w:val="005D2E5C"/>
    <w:rsid w:val="005D3436"/>
    <w:rsid w:val="005D3957"/>
    <w:rsid w:val="005D6616"/>
    <w:rsid w:val="005D69AE"/>
    <w:rsid w:val="005D6A49"/>
    <w:rsid w:val="005E0514"/>
    <w:rsid w:val="005E2738"/>
    <w:rsid w:val="005E46C0"/>
    <w:rsid w:val="005E4EC6"/>
    <w:rsid w:val="005E4F6D"/>
    <w:rsid w:val="005E6019"/>
    <w:rsid w:val="005E60B2"/>
    <w:rsid w:val="005E68E7"/>
    <w:rsid w:val="005E6AEE"/>
    <w:rsid w:val="005E7114"/>
    <w:rsid w:val="005E7AE6"/>
    <w:rsid w:val="005F0117"/>
    <w:rsid w:val="005F0367"/>
    <w:rsid w:val="005F2DB7"/>
    <w:rsid w:val="005F3CA6"/>
    <w:rsid w:val="005F4BB3"/>
    <w:rsid w:val="005F53A7"/>
    <w:rsid w:val="005F559C"/>
    <w:rsid w:val="005F5A4A"/>
    <w:rsid w:val="005F5A4B"/>
    <w:rsid w:val="005F5C77"/>
    <w:rsid w:val="005F696C"/>
    <w:rsid w:val="005F6D9D"/>
    <w:rsid w:val="00600BE7"/>
    <w:rsid w:val="006017F4"/>
    <w:rsid w:val="0060185C"/>
    <w:rsid w:val="006030A6"/>
    <w:rsid w:val="006032C7"/>
    <w:rsid w:val="006053CD"/>
    <w:rsid w:val="00605769"/>
    <w:rsid w:val="00610F7E"/>
    <w:rsid w:val="0061139C"/>
    <w:rsid w:val="00611DCA"/>
    <w:rsid w:val="006139B6"/>
    <w:rsid w:val="006146A4"/>
    <w:rsid w:val="00614C0B"/>
    <w:rsid w:val="0061544F"/>
    <w:rsid w:val="00615683"/>
    <w:rsid w:val="00617266"/>
    <w:rsid w:val="006175EC"/>
    <w:rsid w:val="0061772F"/>
    <w:rsid w:val="006177B2"/>
    <w:rsid w:val="0061787C"/>
    <w:rsid w:val="00617BE4"/>
    <w:rsid w:val="00620D20"/>
    <w:rsid w:val="00621CFD"/>
    <w:rsid w:val="00621ED3"/>
    <w:rsid w:val="00622326"/>
    <w:rsid w:val="0062315A"/>
    <w:rsid w:val="00623513"/>
    <w:rsid w:val="00625AA4"/>
    <w:rsid w:val="00625B30"/>
    <w:rsid w:val="00626827"/>
    <w:rsid w:val="00626F71"/>
    <w:rsid w:val="00630A85"/>
    <w:rsid w:val="00631595"/>
    <w:rsid w:val="006321B1"/>
    <w:rsid w:val="00632260"/>
    <w:rsid w:val="00632640"/>
    <w:rsid w:val="00632C6F"/>
    <w:rsid w:val="006334F7"/>
    <w:rsid w:val="006342D0"/>
    <w:rsid w:val="00635803"/>
    <w:rsid w:val="00635BCD"/>
    <w:rsid w:val="006368C4"/>
    <w:rsid w:val="006379B1"/>
    <w:rsid w:val="00640052"/>
    <w:rsid w:val="006411A3"/>
    <w:rsid w:val="00641A15"/>
    <w:rsid w:val="006427B9"/>
    <w:rsid w:val="00642E92"/>
    <w:rsid w:val="0064350A"/>
    <w:rsid w:val="0064396B"/>
    <w:rsid w:val="00645D67"/>
    <w:rsid w:val="00646B5C"/>
    <w:rsid w:val="00646F7E"/>
    <w:rsid w:val="006475B0"/>
    <w:rsid w:val="006500E6"/>
    <w:rsid w:val="0065149C"/>
    <w:rsid w:val="00651869"/>
    <w:rsid w:val="006521A8"/>
    <w:rsid w:val="00652655"/>
    <w:rsid w:val="006527D5"/>
    <w:rsid w:val="00653760"/>
    <w:rsid w:val="00654828"/>
    <w:rsid w:val="00656882"/>
    <w:rsid w:val="00656A74"/>
    <w:rsid w:val="00656FBF"/>
    <w:rsid w:val="0065785F"/>
    <w:rsid w:val="00657972"/>
    <w:rsid w:val="00657E98"/>
    <w:rsid w:val="0066029E"/>
    <w:rsid w:val="00660B6A"/>
    <w:rsid w:val="00660FCA"/>
    <w:rsid w:val="00661BE0"/>
    <w:rsid w:val="006643CF"/>
    <w:rsid w:val="00664A50"/>
    <w:rsid w:val="00664BC1"/>
    <w:rsid w:val="006654D1"/>
    <w:rsid w:val="00665FD8"/>
    <w:rsid w:val="006666C9"/>
    <w:rsid w:val="0066783F"/>
    <w:rsid w:val="00667DC9"/>
    <w:rsid w:val="00667EDB"/>
    <w:rsid w:val="00670788"/>
    <w:rsid w:val="00672584"/>
    <w:rsid w:val="00672E24"/>
    <w:rsid w:val="0067422F"/>
    <w:rsid w:val="006753D6"/>
    <w:rsid w:val="006757A3"/>
    <w:rsid w:val="00675987"/>
    <w:rsid w:val="00677E07"/>
    <w:rsid w:val="00680513"/>
    <w:rsid w:val="0068206D"/>
    <w:rsid w:val="006823C4"/>
    <w:rsid w:val="006823F2"/>
    <w:rsid w:val="00683031"/>
    <w:rsid w:val="0068342A"/>
    <w:rsid w:val="006839EE"/>
    <w:rsid w:val="006854DF"/>
    <w:rsid w:val="00685942"/>
    <w:rsid w:val="0068741F"/>
    <w:rsid w:val="00690174"/>
    <w:rsid w:val="00691A86"/>
    <w:rsid w:val="00692BE6"/>
    <w:rsid w:val="00693063"/>
    <w:rsid w:val="006938E4"/>
    <w:rsid w:val="00693B50"/>
    <w:rsid w:val="00697AA6"/>
    <w:rsid w:val="00697CDB"/>
    <w:rsid w:val="00697F44"/>
    <w:rsid w:val="006A0629"/>
    <w:rsid w:val="006A3E3F"/>
    <w:rsid w:val="006A4B62"/>
    <w:rsid w:val="006A4C62"/>
    <w:rsid w:val="006A55B1"/>
    <w:rsid w:val="006A6DD6"/>
    <w:rsid w:val="006B04F2"/>
    <w:rsid w:val="006B0AA4"/>
    <w:rsid w:val="006B304C"/>
    <w:rsid w:val="006B4926"/>
    <w:rsid w:val="006B4963"/>
    <w:rsid w:val="006B4A98"/>
    <w:rsid w:val="006B50BF"/>
    <w:rsid w:val="006B5DBE"/>
    <w:rsid w:val="006B5E96"/>
    <w:rsid w:val="006B5F31"/>
    <w:rsid w:val="006B7D5E"/>
    <w:rsid w:val="006C0A77"/>
    <w:rsid w:val="006C1923"/>
    <w:rsid w:val="006C1A79"/>
    <w:rsid w:val="006C2619"/>
    <w:rsid w:val="006C2FC7"/>
    <w:rsid w:val="006C57C4"/>
    <w:rsid w:val="006C6FE3"/>
    <w:rsid w:val="006D152D"/>
    <w:rsid w:val="006D24AE"/>
    <w:rsid w:val="006D45A8"/>
    <w:rsid w:val="006D5131"/>
    <w:rsid w:val="006D5674"/>
    <w:rsid w:val="006D6229"/>
    <w:rsid w:val="006E04A5"/>
    <w:rsid w:val="006E100E"/>
    <w:rsid w:val="006E3243"/>
    <w:rsid w:val="006E60C1"/>
    <w:rsid w:val="006E6D64"/>
    <w:rsid w:val="006F0536"/>
    <w:rsid w:val="006F0880"/>
    <w:rsid w:val="006F097D"/>
    <w:rsid w:val="006F2334"/>
    <w:rsid w:val="006F29D3"/>
    <w:rsid w:val="006F320A"/>
    <w:rsid w:val="006F3813"/>
    <w:rsid w:val="006F44D3"/>
    <w:rsid w:val="006F54C7"/>
    <w:rsid w:val="006F5EA5"/>
    <w:rsid w:val="0070008D"/>
    <w:rsid w:val="007013ED"/>
    <w:rsid w:val="00703553"/>
    <w:rsid w:val="00703C64"/>
    <w:rsid w:val="0070416A"/>
    <w:rsid w:val="00705859"/>
    <w:rsid w:val="00711228"/>
    <w:rsid w:val="00712C73"/>
    <w:rsid w:val="0071645A"/>
    <w:rsid w:val="00716D78"/>
    <w:rsid w:val="00720944"/>
    <w:rsid w:val="00720D28"/>
    <w:rsid w:val="007211BB"/>
    <w:rsid w:val="00721CE8"/>
    <w:rsid w:val="00721E7E"/>
    <w:rsid w:val="00722F9F"/>
    <w:rsid w:val="00723F22"/>
    <w:rsid w:val="00726063"/>
    <w:rsid w:val="0072726E"/>
    <w:rsid w:val="007272D9"/>
    <w:rsid w:val="00727A3F"/>
    <w:rsid w:val="00727C11"/>
    <w:rsid w:val="00727D4D"/>
    <w:rsid w:val="00732072"/>
    <w:rsid w:val="0073264D"/>
    <w:rsid w:val="00733608"/>
    <w:rsid w:val="00733DC4"/>
    <w:rsid w:val="00735B99"/>
    <w:rsid w:val="00736DDE"/>
    <w:rsid w:val="00737528"/>
    <w:rsid w:val="00737B62"/>
    <w:rsid w:val="00741224"/>
    <w:rsid w:val="00741391"/>
    <w:rsid w:val="00742B5C"/>
    <w:rsid w:val="0074367C"/>
    <w:rsid w:val="007437E2"/>
    <w:rsid w:val="00744E27"/>
    <w:rsid w:val="007467D2"/>
    <w:rsid w:val="00747B5F"/>
    <w:rsid w:val="00750771"/>
    <w:rsid w:val="007516DA"/>
    <w:rsid w:val="00752144"/>
    <w:rsid w:val="00752B0F"/>
    <w:rsid w:val="00752EAF"/>
    <w:rsid w:val="007532D7"/>
    <w:rsid w:val="007541B2"/>
    <w:rsid w:val="00754A6B"/>
    <w:rsid w:val="00754C2A"/>
    <w:rsid w:val="007551C4"/>
    <w:rsid w:val="007558F7"/>
    <w:rsid w:val="00756183"/>
    <w:rsid w:val="007611A8"/>
    <w:rsid w:val="00761822"/>
    <w:rsid w:val="0076225E"/>
    <w:rsid w:val="00762311"/>
    <w:rsid w:val="00764943"/>
    <w:rsid w:val="00764B62"/>
    <w:rsid w:val="00764F93"/>
    <w:rsid w:val="007667B3"/>
    <w:rsid w:val="007708DB"/>
    <w:rsid w:val="0077091F"/>
    <w:rsid w:val="00770BA9"/>
    <w:rsid w:val="00770D15"/>
    <w:rsid w:val="007713D9"/>
    <w:rsid w:val="00771AFB"/>
    <w:rsid w:val="0077246E"/>
    <w:rsid w:val="00772CAB"/>
    <w:rsid w:val="00772D53"/>
    <w:rsid w:val="007739FF"/>
    <w:rsid w:val="00774B7C"/>
    <w:rsid w:val="00777C15"/>
    <w:rsid w:val="00777F1A"/>
    <w:rsid w:val="00780740"/>
    <w:rsid w:val="0078125B"/>
    <w:rsid w:val="00781833"/>
    <w:rsid w:val="0078201C"/>
    <w:rsid w:val="00782217"/>
    <w:rsid w:val="007824E9"/>
    <w:rsid w:val="0078416C"/>
    <w:rsid w:val="007848C2"/>
    <w:rsid w:val="00784EAD"/>
    <w:rsid w:val="00785911"/>
    <w:rsid w:val="0078619E"/>
    <w:rsid w:val="00786CC8"/>
    <w:rsid w:val="00787A64"/>
    <w:rsid w:val="00790455"/>
    <w:rsid w:val="00791058"/>
    <w:rsid w:val="00791641"/>
    <w:rsid w:val="00791E96"/>
    <w:rsid w:val="0079289E"/>
    <w:rsid w:val="00792E5D"/>
    <w:rsid w:val="00793EB5"/>
    <w:rsid w:val="00794098"/>
    <w:rsid w:val="00795953"/>
    <w:rsid w:val="007976DD"/>
    <w:rsid w:val="00797DEE"/>
    <w:rsid w:val="007A0EFB"/>
    <w:rsid w:val="007A12FA"/>
    <w:rsid w:val="007A2181"/>
    <w:rsid w:val="007A29E6"/>
    <w:rsid w:val="007A4D0E"/>
    <w:rsid w:val="007A4FA2"/>
    <w:rsid w:val="007A5FBC"/>
    <w:rsid w:val="007A62AA"/>
    <w:rsid w:val="007A6D3E"/>
    <w:rsid w:val="007A7366"/>
    <w:rsid w:val="007A7BF9"/>
    <w:rsid w:val="007B0EAE"/>
    <w:rsid w:val="007B14CE"/>
    <w:rsid w:val="007B2BB9"/>
    <w:rsid w:val="007B60B7"/>
    <w:rsid w:val="007B640C"/>
    <w:rsid w:val="007B6E84"/>
    <w:rsid w:val="007B732B"/>
    <w:rsid w:val="007B7338"/>
    <w:rsid w:val="007B7E58"/>
    <w:rsid w:val="007C1CDB"/>
    <w:rsid w:val="007C1FB0"/>
    <w:rsid w:val="007C1FBE"/>
    <w:rsid w:val="007C2651"/>
    <w:rsid w:val="007C3010"/>
    <w:rsid w:val="007C4591"/>
    <w:rsid w:val="007C4689"/>
    <w:rsid w:val="007C5FAA"/>
    <w:rsid w:val="007D06A7"/>
    <w:rsid w:val="007D2C9A"/>
    <w:rsid w:val="007D336B"/>
    <w:rsid w:val="007D4A24"/>
    <w:rsid w:val="007D4FFA"/>
    <w:rsid w:val="007D56D7"/>
    <w:rsid w:val="007D61CB"/>
    <w:rsid w:val="007D61F7"/>
    <w:rsid w:val="007D64A4"/>
    <w:rsid w:val="007D6CFA"/>
    <w:rsid w:val="007E1345"/>
    <w:rsid w:val="007E24C6"/>
    <w:rsid w:val="007E332D"/>
    <w:rsid w:val="007E37E8"/>
    <w:rsid w:val="007E6456"/>
    <w:rsid w:val="007E6AE8"/>
    <w:rsid w:val="007E7EC9"/>
    <w:rsid w:val="007F147C"/>
    <w:rsid w:val="007F2BDE"/>
    <w:rsid w:val="007F32E8"/>
    <w:rsid w:val="007F3A1E"/>
    <w:rsid w:val="007F4C3A"/>
    <w:rsid w:val="007F56DB"/>
    <w:rsid w:val="007F579F"/>
    <w:rsid w:val="007F6C6C"/>
    <w:rsid w:val="007F7136"/>
    <w:rsid w:val="007F7943"/>
    <w:rsid w:val="0080168F"/>
    <w:rsid w:val="008020DB"/>
    <w:rsid w:val="00802E19"/>
    <w:rsid w:val="008034A0"/>
    <w:rsid w:val="00805434"/>
    <w:rsid w:val="00806B5D"/>
    <w:rsid w:val="0080701D"/>
    <w:rsid w:val="008113CF"/>
    <w:rsid w:val="00811877"/>
    <w:rsid w:val="00812465"/>
    <w:rsid w:val="0081467B"/>
    <w:rsid w:val="00814FEC"/>
    <w:rsid w:val="00814FF0"/>
    <w:rsid w:val="008151E5"/>
    <w:rsid w:val="0081576C"/>
    <w:rsid w:val="00815EF4"/>
    <w:rsid w:val="008163CB"/>
    <w:rsid w:val="00817147"/>
    <w:rsid w:val="00817667"/>
    <w:rsid w:val="00823AA5"/>
    <w:rsid w:val="008246FE"/>
    <w:rsid w:val="00824737"/>
    <w:rsid w:val="00824C93"/>
    <w:rsid w:val="0082563E"/>
    <w:rsid w:val="00825AEF"/>
    <w:rsid w:val="0082614D"/>
    <w:rsid w:val="0082729F"/>
    <w:rsid w:val="00832276"/>
    <w:rsid w:val="008326B3"/>
    <w:rsid w:val="00832893"/>
    <w:rsid w:val="0083554C"/>
    <w:rsid w:val="008355CB"/>
    <w:rsid w:val="00835C93"/>
    <w:rsid w:val="00836A26"/>
    <w:rsid w:val="00837C36"/>
    <w:rsid w:val="00840B7C"/>
    <w:rsid w:val="00842E7A"/>
    <w:rsid w:val="0084520F"/>
    <w:rsid w:val="0084663B"/>
    <w:rsid w:val="00846BA4"/>
    <w:rsid w:val="00847730"/>
    <w:rsid w:val="00847E54"/>
    <w:rsid w:val="00850BD4"/>
    <w:rsid w:val="0085247E"/>
    <w:rsid w:val="00853314"/>
    <w:rsid w:val="0085474A"/>
    <w:rsid w:val="00854E5A"/>
    <w:rsid w:val="00854F95"/>
    <w:rsid w:val="00855C3A"/>
    <w:rsid w:val="00856456"/>
    <w:rsid w:val="00861E38"/>
    <w:rsid w:val="008628A8"/>
    <w:rsid w:val="00862E55"/>
    <w:rsid w:val="00865715"/>
    <w:rsid w:val="00865783"/>
    <w:rsid w:val="0086752C"/>
    <w:rsid w:val="00867886"/>
    <w:rsid w:val="00870019"/>
    <w:rsid w:val="00874B3D"/>
    <w:rsid w:val="00875B4A"/>
    <w:rsid w:val="00875F79"/>
    <w:rsid w:val="00876EB3"/>
    <w:rsid w:val="00877E08"/>
    <w:rsid w:val="00880289"/>
    <w:rsid w:val="00880407"/>
    <w:rsid w:val="00881490"/>
    <w:rsid w:val="00881575"/>
    <w:rsid w:val="0088196B"/>
    <w:rsid w:val="00881CC6"/>
    <w:rsid w:val="008835AA"/>
    <w:rsid w:val="0088425C"/>
    <w:rsid w:val="008844D6"/>
    <w:rsid w:val="008855CE"/>
    <w:rsid w:val="008859F6"/>
    <w:rsid w:val="0088641B"/>
    <w:rsid w:val="00886C64"/>
    <w:rsid w:val="008903C9"/>
    <w:rsid w:val="00890ABD"/>
    <w:rsid w:val="00890D70"/>
    <w:rsid w:val="00893D26"/>
    <w:rsid w:val="008950D1"/>
    <w:rsid w:val="00895582"/>
    <w:rsid w:val="00896458"/>
    <w:rsid w:val="008A019E"/>
    <w:rsid w:val="008A0B9A"/>
    <w:rsid w:val="008A1BD8"/>
    <w:rsid w:val="008A3B0F"/>
    <w:rsid w:val="008A406E"/>
    <w:rsid w:val="008A4CD2"/>
    <w:rsid w:val="008A5183"/>
    <w:rsid w:val="008A63C3"/>
    <w:rsid w:val="008A66E0"/>
    <w:rsid w:val="008A7DB2"/>
    <w:rsid w:val="008B048A"/>
    <w:rsid w:val="008B0663"/>
    <w:rsid w:val="008B0DD3"/>
    <w:rsid w:val="008B2231"/>
    <w:rsid w:val="008B3740"/>
    <w:rsid w:val="008B4BFD"/>
    <w:rsid w:val="008B5316"/>
    <w:rsid w:val="008B6636"/>
    <w:rsid w:val="008B6958"/>
    <w:rsid w:val="008C1ECB"/>
    <w:rsid w:val="008C26ED"/>
    <w:rsid w:val="008C3838"/>
    <w:rsid w:val="008C3B75"/>
    <w:rsid w:val="008C438C"/>
    <w:rsid w:val="008C47DF"/>
    <w:rsid w:val="008C4914"/>
    <w:rsid w:val="008C6588"/>
    <w:rsid w:val="008C6FAD"/>
    <w:rsid w:val="008D11AA"/>
    <w:rsid w:val="008D143F"/>
    <w:rsid w:val="008D18C9"/>
    <w:rsid w:val="008D2C17"/>
    <w:rsid w:val="008D4EA7"/>
    <w:rsid w:val="008D5EA9"/>
    <w:rsid w:val="008D6C7C"/>
    <w:rsid w:val="008E02E2"/>
    <w:rsid w:val="008E195E"/>
    <w:rsid w:val="008E1EB4"/>
    <w:rsid w:val="008E2EFA"/>
    <w:rsid w:val="008E33E1"/>
    <w:rsid w:val="008E359F"/>
    <w:rsid w:val="008E50C9"/>
    <w:rsid w:val="008E575D"/>
    <w:rsid w:val="008E632C"/>
    <w:rsid w:val="008F046F"/>
    <w:rsid w:val="008F2664"/>
    <w:rsid w:val="008F2EF6"/>
    <w:rsid w:val="008F3292"/>
    <w:rsid w:val="008F36B7"/>
    <w:rsid w:val="008F383A"/>
    <w:rsid w:val="008F3FFD"/>
    <w:rsid w:val="008F488A"/>
    <w:rsid w:val="008F6DBB"/>
    <w:rsid w:val="008F6F0D"/>
    <w:rsid w:val="008F7F02"/>
    <w:rsid w:val="0090040C"/>
    <w:rsid w:val="00900EAD"/>
    <w:rsid w:val="0090222D"/>
    <w:rsid w:val="009022E7"/>
    <w:rsid w:val="00903D0C"/>
    <w:rsid w:val="00903EB0"/>
    <w:rsid w:val="00904F44"/>
    <w:rsid w:val="0090543C"/>
    <w:rsid w:val="00905D31"/>
    <w:rsid w:val="0090744F"/>
    <w:rsid w:val="0090778E"/>
    <w:rsid w:val="009078E4"/>
    <w:rsid w:val="00910189"/>
    <w:rsid w:val="0091126D"/>
    <w:rsid w:val="00911E87"/>
    <w:rsid w:val="00913E2D"/>
    <w:rsid w:val="00913F8F"/>
    <w:rsid w:val="009144F7"/>
    <w:rsid w:val="0091567B"/>
    <w:rsid w:val="00915E02"/>
    <w:rsid w:val="0091616E"/>
    <w:rsid w:val="0092046C"/>
    <w:rsid w:val="009209E8"/>
    <w:rsid w:val="00921193"/>
    <w:rsid w:val="009212C7"/>
    <w:rsid w:val="00921B96"/>
    <w:rsid w:val="00922FC8"/>
    <w:rsid w:val="009262A2"/>
    <w:rsid w:val="00926C3E"/>
    <w:rsid w:val="00933427"/>
    <w:rsid w:val="009349F3"/>
    <w:rsid w:val="00935305"/>
    <w:rsid w:val="009355A1"/>
    <w:rsid w:val="009356EC"/>
    <w:rsid w:val="0093582B"/>
    <w:rsid w:val="00936542"/>
    <w:rsid w:val="009367E5"/>
    <w:rsid w:val="00941C61"/>
    <w:rsid w:val="00942106"/>
    <w:rsid w:val="009426F9"/>
    <w:rsid w:val="009429F0"/>
    <w:rsid w:val="00944833"/>
    <w:rsid w:val="00945AFF"/>
    <w:rsid w:val="00945F69"/>
    <w:rsid w:val="00946660"/>
    <w:rsid w:val="00950646"/>
    <w:rsid w:val="00950A11"/>
    <w:rsid w:val="00950D02"/>
    <w:rsid w:val="0095128C"/>
    <w:rsid w:val="00951F98"/>
    <w:rsid w:val="00952C94"/>
    <w:rsid w:val="00953E9E"/>
    <w:rsid w:val="00956E37"/>
    <w:rsid w:val="00963B36"/>
    <w:rsid w:val="009648A7"/>
    <w:rsid w:val="009667E4"/>
    <w:rsid w:val="00966A7A"/>
    <w:rsid w:val="00967D96"/>
    <w:rsid w:val="009718AC"/>
    <w:rsid w:val="00971DBD"/>
    <w:rsid w:val="00972934"/>
    <w:rsid w:val="00972F58"/>
    <w:rsid w:val="0097473B"/>
    <w:rsid w:val="00974EDB"/>
    <w:rsid w:val="009767F8"/>
    <w:rsid w:val="009777DB"/>
    <w:rsid w:val="009800E9"/>
    <w:rsid w:val="0098055C"/>
    <w:rsid w:val="0098143A"/>
    <w:rsid w:val="00981DFC"/>
    <w:rsid w:val="009838F3"/>
    <w:rsid w:val="009848E2"/>
    <w:rsid w:val="009852A7"/>
    <w:rsid w:val="009862AA"/>
    <w:rsid w:val="00986BD3"/>
    <w:rsid w:val="00987223"/>
    <w:rsid w:val="0099083A"/>
    <w:rsid w:val="00992C81"/>
    <w:rsid w:val="00993251"/>
    <w:rsid w:val="00993337"/>
    <w:rsid w:val="00994214"/>
    <w:rsid w:val="0099559E"/>
    <w:rsid w:val="00995C4D"/>
    <w:rsid w:val="00997316"/>
    <w:rsid w:val="009A09DE"/>
    <w:rsid w:val="009A0F2D"/>
    <w:rsid w:val="009A1CFA"/>
    <w:rsid w:val="009A2695"/>
    <w:rsid w:val="009A3913"/>
    <w:rsid w:val="009A4455"/>
    <w:rsid w:val="009A5099"/>
    <w:rsid w:val="009A7593"/>
    <w:rsid w:val="009B02FE"/>
    <w:rsid w:val="009B0C46"/>
    <w:rsid w:val="009B37EF"/>
    <w:rsid w:val="009B40D2"/>
    <w:rsid w:val="009B479A"/>
    <w:rsid w:val="009B4A55"/>
    <w:rsid w:val="009B5AEE"/>
    <w:rsid w:val="009B6540"/>
    <w:rsid w:val="009B6BB2"/>
    <w:rsid w:val="009B6F83"/>
    <w:rsid w:val="009C331B"/>
    <w:rsid w:val="009C43EA"/>
    <w:rsid w:val="009C4689"/>
    <w:rsid w:val="009C6A4C"/>
    <w:rsid w:val="009C6E74"/>
    <w:rsid w:val="009C76D3"/>
    <w:rsid w:val="009D0324"/>
    <w:rsid w:val="009D04D7"/>
    <w:rsid w:val="009D297C"/>
    <w:rsid w:val="009D2D96"/>
    <w:rsid w:val="009D58C5"/>
    <w:rsid w:val="009D6178"/>
    <w:rsid w:val="009D68D3"/>
    <w:rsid w:val="009D7212"/>
    <w:rsid w:val="009D75E9"/>
    <w:rsid w:val="009E035F"/>
    <w:rsid w:val="009E04F3"/>
    <w:rsid w:val="009E268B"/>
    <w:rsid w:val="009E2DC3"/>
    <w:rsid w:val="009E404E"/>
    <w:rsid w:val="009E4752"/>
    <w:rsid w:val="009E595D"/>
    <w:rsid w:val="009E6B8F"/>
    <w:rsid w:val="009E7C5D"/>
    <w:rsid w:val="009F0465"/>
    <w:rsid w:val="009F195A"/>
    <w:rsid w:val="009F2987"/>
    <w:rsid w:val="009F2CC2"/>
    <w:rsid w:val="009F3EF5"/>
    <w:rsid w:val="009F6AC9"/>
    <w:rsid w:val="009F6F4E"/>
    <w:rsid w:val="009F707B"/>
    <w:rsid w:val="00A004ED"/>
    <w:rsid w:val="00A00EE1"/>
    <w:rsid w:val="00A01798"/>
    <w:rsid w:val="00A02811"/>
    <w:rsid w:val="00A03E32"/>
    <w:rsid w:val="00A04ABD"/>
    <w:rsid w:val="00A04D78"/>
    <w:rsid w:val="00A05540"/>
    <w:rsid w:val="00A07F56"/>
    <w:rsid w:val="00A120C5"/>
    <w:rsid w:val="00A12534"/>
    <w:rsid w:val="00A12F58"/>
    <w:rsid w:val="00A13AF5"/>
    <w:rsid w:val="00A149FB"/>
    <w:rsid w:val="00A1584E"/>
    <w:rsid w:val="00A1653E"/>
    <w:rsid w:val="00A176FB"/>
    <w:rsid w:val="00A17D65"/>
    <w:rsid w:val="00A20561"/>
    <w:rsid w:val="00A205F2"/>
    <w:rsid w:val="00A21B64"/>
    <w:rsid w:val="00A24D14"/>
    <w:rsid w:val="00A25491"/>
    <w:rsid w:val="00A25EA9"/>
    <w:rsid w:val="00A25F77"/>
    <w:rsid w:val="00A277CC"/>
    <w:rsid w:val="00A3129F"/>
    <w:rsid w:val="00A315FE"/>
    <w:rsid w:val="00A3227E"/>
    <w:rsid w:val="00A32632"/>
    <w:rsid w:val="00A33B3B"/>
    <w:rsid w:val="00A34B97"/>
    <w:rsid w:val="00A36DA0"/>
    <w:rsid w:val="00A37883"/>
    <w:rsid w:val="00A40DE2"/>
    <w:rsid w:val="00A40E6B"/>
    <w:rsid w:val="00A41C76"/>
    <w:rsid w:val="00A42C70"/>
    <w:rsid w:val="00A43711"/>
    <w:rsid w:val="00A439C3"/>
    <w:rsid w:val="00A44180"/>
    <w:rsid w:val="00A45915"/>
    <w:rsid w:val="00A459C3"/>
    <w:rsid w:val="00A45CB4"/>
    <w:rsid w:val="00A46A60"/>
    <w:rsid w:val="00A52865"/>
    <w:rsid w:val="00A5366D"/>
    <w:rsid w:val="00A5487B"/>
    <w:rsid w:val="00A54E83"/>
    <w:rsid w:val="00A556D8"/>
    <w:rsid w:val="00A55A42"/>
    <w:rsid w:val="00A56DCB"/>
    <w:rsid w:val="00A62D46"/>
    <w:rsid w:val="00A62D8B"/>
    <w:rsid w:val="00A6316C"/>
    <w:rsid w:val="00A65FAA"/>
    <w:rsid w:val="00A67B03"/>
    <w:rsid w:val="00A717EE"/>
    <w:rsid w:val="00A7181E"/>
    <w:rsid w:val="00A72590"/>
    <w:rsid w:val="00A72943"/>
    <w:rsid w:val="00A72FC3"/>
    <w:rsid w:val="00A7559C"/>
    <w:rsid w:val="00A75697"/>
    <w:rsid w:val="00A75745"/>
    <w:rsid w:val="00A75E8A"/>
    <w:rsid w:val="00A76F71"/>
    <w:rsid w:val="00A77802"/>
    <w:rsid w:val="00A81123"/>
    <w:rsid w:val="00A8314B"/>
    <w:rsid w:val="00A83938"/>
    <w:rsid w:val="00A83BE2"/>
    <w:rsid w:val="00A840E7"/>
    <w:rsid w:val="00A84ACA"/>
    <w:rsid w:val="00A850FA"/>
    <w:rsid w:val="00A85C63"/>
    <w:rsid w:val="00A86086"/>
    <w:rsid w:val="00A860B6"/>
    <w:rsid w:val="00A86D4D"/>
    <w:rsid w:val="00A87262"/>
    <w:rsid w:val="00A8784B"/>
    <w:rsid w:val="00A909C6"/>
    <w:rsid w:val="00A90FA2"/>
    <w:rsid w:val="00A92319"/>
    <w:rsid w:val="00A92485"/>
    <w:rsid w:val="00A931FF"/>
    <w:rsid w:val="00A93C2E"/>
    <w:rsid w:val="00A95445"/>
    <w:rsid w:val="00A97791"/>
    <w:rsid w:val="00A97CF7"/>
    <w:rsid w:val="00AA0E46"/>
    <w:rsid w:val="00AA1E69"/>
    <w:rsid w:val="00AA2284"/>
    <w:rsid w:val="00AA2CB4"/>
    <w:rsid w:val="00AA3D67"/>
    <w:rsid w:val="00AA54FA"/>
    <w:rsid w:val="00AA5ED9"/>
    <w:rsid w:val="00AA6E54"/>
    <w:rsid w:val="00AB1258"/>
    <w:rsid w:val="00AB1932"/>
    <w:rsid w:val="00AB1D0C"/>
    <w:rsid w:val="00AB1E19"/>
    <w:rsid w:val="00AB2899"/>
    <w:rsid w:val="00AB2FD4"/>
    <w:rsid w:val="00AB320F"/>
    <w:rsid w:val="00AB33A3"/>
    <w:rsid w:val="00AB450F"/>
    <w:rsid w:val="00AB51E4"/>
    <w:rsid w:val="00AB5231"/>
    <w:rsid w:val="00AB563F"/>
    <w:rsid w:val="00AB64F8"/>
    <w:rsid w:val="00AB66B7"/>
    <w:rsid w:val="00AC0850"/>
    <w:rsid w:val="00AC1137"/>
    <w:rsid w:val="00AC18C5"/>
    <w:rsid w:val="00AC2ADD"/>
    <w:rsid w:val="00AC2D1F"/>
    <w:rsid w:val="00AC336F"/>
    <w:rsid w:val="00AC3D4A"/>
    <w:rsid w:val="00AC4C06"/>
    <w:rsid w:val="00AC55B5"/>
    <w:rsid w:val="00AD06B6"/>
    <w:rsid w:val="00AD0CDF"/>
    <w:rsid w:val="00AD0D8D"/>
    <w:rsid w:val="00AD1D76"/>
    <w:rsid w:val="00AD2137"/>
    <w:rsid w:val="00AD26C4"/>
    <w:rsid w:val="00AD28B5"/>
    <w:rsid w:val="00AD2CDE"/>
    <w:rsid w:val="00AD389D"/>
    <w:rsid w:val="00AD45FC"/>
    <w:rsid w:val="00AD5738"/>
    <w:rsid w:val="00AD6433"/>
    <w:rsid w:val="00AE016A"/>
    <w:rsid w:val="00AE0C8A"/>
    <w:rsid w:val="00AE10D4"/>
    <w:rsid w:val="00AE24DE"/>
    <w:rsid w:val="00AE2566"/>
    <w:rsid w:val="00AE3C92"/>
    <w:rsid w:val="00AE3D95"/>
    <w:rsid w:val="00AE41F1"/>
    <w:rsid w:val="00AE4B1B"/>
    <w:rsid w:val="00AE5FB5"/>
    <w:rsid w:val="00AE650D"/>
    <w:rsid w:val="00AE69D2"/>
    <w:rsid w:val="00AE6D3C"/>
    <w:rsid w:val="00AE77A0"/>
    <w:rsid w:val="00AE78DE"/>
    <w:rsid w:val="00AF14D8"/>
    <w:rsid w:val="00AF3152"/>
    <w:rsid w:val="00AF3222"/>
    <w:rsid w:val="00AF75DA"/>
    <w:rsid w:val="00B00742"/>
    <w:rsid w:val="00B01E94"/>
    <w:rsid w:val="00B02428"/>
    <w:rsid w:val="00B0634F"/>
    <w:rsid w:val="00B0772B"/>
    <w:rsid w:val="00B07E5D"/>
    <w:rsid w:val="00B1052B"/>
    <w:rsid w:val="00B10860"/>
    <w:rsid w:val="00B10C13"/>
    <w:rsid w:val="00B1181C"/>
    <w:rsid w:val="00B11DF6"/>
    <w:rsid w:val="00B11E77"/>
    <w:rsid w:val="00B12141"/>
    <w:rsid w:val="00B12B52"/>
    <w:rsid w:val="00B13248"/>
    <w:rsid w:val="00B13332"/>
    <w:rsid w:val="00B133D8"/>
    <w:rsid w:val="00B13E09"/>
    <w:rsid w:val="00B145E5"/>
    <w:rsid w:val="00B224B6"/>
    <w:rsid w:val="00B22DDA"/>
    <w:rsid w:val="00B23430"/>
    <w:rsid w:val="00B244D4"/>
    <w:rsid w:val="00B25EBB"/>
    <w:rsid w:val="00B26C31"/>
    <w:rsid w:val="00B26D35"/>
    <w:rsid w:val="00B27AAD"/>
    <w:rsid w:val="00B32150"/>
    <w:rsid w:val="00B35E01"/>
    <w:rsid w:val="00B41137"/>
    <w:rsid w:val="00B41239"/>
    <w:rsid w:val="00B41D2D"/>
    <w:rsid w:val="00B43371"/>
    <w:rsid w:val="00B43807"/>
    <w:rsid w:val="00B43C41"/>
    <w:rsid w:val="00B45E2A"/>
    <w:rsid w:val="00B50029"/>
    <w:rsid w:val="00B50089"/>
    <w:rsid w:val="00B50A18"/>
    <w:rsid w:val="00B53471"/>
    <w:rsid w:val="00B53D98"/>
    <w:rsid w:val="00B551BB"/>
    <w:rsid w:val="00B5607F"/>
    <w:rsid w:val="00B561B9"/>
    <w:rsid w:val="00B570E1"/>
    <w:rsid w:val="00B5743B"/>
    <w:rsid w:val="00B575B7"/>
    <w:rsid w:val="00B6085F"/>
    <w:rsid w:val="00B612EE"/>
    <w:rsid w:val="00B63661"/>
    <w:rsid w:val="00B64038"/>
    <w:rsid w:val="00B6541A"/>
    <w:rsid w:val="00B676B2"/>
    <w:rsid w:val="00B67CE4"/>
    <w:rsid w:val="00B67DF0"/>
    <w:rsid w:val="00B7067B"/>
    <w:rsid w:val="00B70B5D"/>
    <w:rsid w:val="00B74FC0"/>
    <w:rsid w:val="00B75B5E"/>
    <w:rsid w:val="00B83B34"/>
    <w:rsid w:val="00B8771F"/>
    <w:rsid w:val="00B87CCD"/>
    <w:rsid w:val="00B90965"/>
    <w:rsid w:val="00B90D86"/>
    <w:rsid w:val="00B9115B"/>
    <w:rsid w:val="00B914CA"/>
    <w:rsid w:val="00B929C8"/>
    <w:rsid w:val="00B929F9"/>
    <w:rsid w:val="00B947F9"/>
    <w:rsid w:val="00B94EEA"/>
    <w:rsid w:val="00B9546F"/>
    <w:rsid w:val="00B960D7"/>
    <w:rsid w:val="00B96849"/>
    <w:rsid w:val="00B96D6F"/>
    <w:rsid w:val="00B97943"/>
    <w:rsid w:val="00BA1DA3"/>
    <w:rsid w:val="00BA1F6F"/>
    <w:rsid w:val="00BA3EE4"/>
    <w:rsid w:val="00BA3FC0"/>
    <w:rsid w:val="00BB14D3"/>
    <w:rsid w:val="00BB250A"/>
    <w:rsid w:val="00BB2A3A"/>
    <w:rsid w:val="00BB2FC8"/>
    <w:rsid w:val="00BB3683"/>
    <w:rsid w:val="00BB4169"/>
    <w:rsid w:val="00BB4ED4"/>
    <w:rsid w:val="00BB5D94"/>
    <w:rsid w:val="00BB62A2"/>
    <w:rsid w:val="00BB6852"/>
    <w:rsid w:val="00BB7B38"/>
    <w:rsid w:val="00BC0313"/>
    <w:rsid w:val="00BC0DDB"/>
    <w:rsid w:val="00BC184E"/>
    <w:rsid w:val="00BC2532"/>
    <w:rsid w:val="00BC2788"/>
    <w:rsid w:val="00BC3914"/>
    <w:rsid w:val="00BC3F76"/>
    <w:rsid w:val="00BC3FF0"/>
    <w:rsid w:val="00BC503F"/>
    <w:rsid w:val="00BC564D"/>
    <w:rsid w:val="00BC5C31"/>
    <w:rsid w:val="00BC5CB5"/>
    <w:rsid w:val="00BC6F6C"/>
    <w:rsid w:val="00BC7058"/>
    <w:rsid w:val="00BC7620"/>
    <w:rsid w:val="00BD2213"/>
    <w:rsid w:val="00BD2597"/>
    <w:rsid w:val="00BD266F"/>
    <w:rsid w:val="00BD30CB"/>
    <w:rsid w:val="00BD37C9"/>
    <w:rsid w:val="00BD42E0"/>
    <w:rsid w:val="00BD55F9"/>
    <w:rsid w:val="00BD56A2"/>
    <w:rsid w:val="00BD5CBA"/>
    <w:rsid w:val="00BD68E4"/>
    <w:rsid w:val="00BD6C99"/>
    <w:rsid w:val="00BD770A"/>
    <w:rsid w:val="00BE00D6"/>
    <w:rsid w:val="00BE1F53"/>
    <w:rsid w:val="00BE2CC6"/>
    <w:rsid w:val="00BE303D"/>
    <w:rsid w:val="00BE3FC7"/>
    <w:rsid w:val="00BE51E2"/>
    <w:rsid w:val="00BE57CA"/>
    <w:rsid w:val="00BE5CE6"/>
    <w:rsid w:val="00BE5EDB"/>
    <w:rsid w:val="00BE731B"/>
    <w:rsid w:val="00BE7DD9"/>
    <w:rsid w:val="00BE7E41"/>
    <w:rsid w:val="00BF1768"/>
    <w:rsid w:val="00BF2387"/>
    <w:rsid w:val="00BF2395"/>
    <w:rsid w:val="00BF436B"/>
    <w:rsid w:val="00BF6672"/>
    <w:rsid w:val="00BF7A6D"/>
    <w:rsid w:val="00C00B87"/>
    <w:rsid w:val="00C01666"/>
    <w:rsid w:val="00C03D8F"/>
    <w:rsid w:val="00C05F05"/>
    <w:rsid w:val="00C05FF9"/>
    <w:rsid w:val="00C06634"/>
    <w:rsid w:val="00C068BA"/>
    <w:rsid w:val="00C079C9"/>
    <w:rsid w:val="00C07E06"/>
    <w:rsid w:val="00C109C5"/>
    <w:rsid w:val="00C10AB3"/>
    <w:rsid w:val="00C112E3"/>
    <w:rsid w:val="00C11649"/>
    <w:rsid w:val="00C11C32"/>
    <w:rsid w:val="00C1268B"/>
    <w:rsid w:val="00C142F5"/>
    <w:rsid w:val="00C1460E"/>
    <w:rsid w:val="00C16FC1"/>
    <w:rsid w:val="00C177FC"/>
    <w:rsid w:val="00C17B44"/>
    <w:rsid w:val="00C224F6"/>
    <w:rsid w:val="00C23011"/>
    <w:rsid w:val="00C23370"/>
    <w:rsid w:val="00C2643C"/>
    <w:rsid w:val="00C30181"/>
    <w:rsid w:val="00C31318"/>
    <w:rsid w:val="00C31ABE"/>
    <w:rsid w:val="00C31D24"/>
    <w:rsid w:val="00C32D97"/>
    <w:rsid w:val="00C33337"/>
    <w:rsid w:val="00C3344E"/>
    <w:rsid w:val="00C33771"/>
    <w:rsid w:val="00C339DE"/>
    <w:rsid w:val="00C33EDA"/>
    <w:rsid w:val="00C34185"/>
    <w:rsid w:val="00C34AB1"/>
    <w:rsid w:val="00C354AA"/>
    <w:rsid w:val="00C35628"/>
    <w:rsid w:val="00C36CD5"/>
    <w:rsid w:val="00C40353"/>
    <w:rsid w:val="00C418A6"/>
    <w:rsid w:val="00C41974"/>
    <w:rsid w:val="00C4255E"/>
    <w:rsid w:val="00C42A79"/>
    <w:rsid w:val="00C43FBA"/>
    <w:rsid w:val="00C443B8"/>
    <w:rsid w:val="00C45EB0"/>
    <w:rsid w:val="00C470E0"/>
    <w:rsid w:val="00C5068E"/>
    <w:rsid w:val="00C50790"/>
    <w:rsid w:val="00C5186B"/>
    <w:rsid w:val="00C5218A"/>
    <w:rsid w:val="00C5288E"/>
    <w:rsid w:val="00C54CAC"/>
    <w:rsid w:val="00C55C19"/>
    <w:rsid w:val="00C56167"/>
    <w:rsid w:val="00C5749F"/>
    <w:rsid w:val="00C57CD0"/>
    <w:rsid w:val="00C60038"/>
    <w:rsid w:val="00C6128A"/>
    <w:rsid w:val="00C61ED0"/>
    <w:rsid w:val="00C63038"/>
    <w:rsid w:val="00C6312B"/>
    <w:rsid w:val="00C6384A"/>
    <w:rsid w:val="00C652D2"/>
    <w:rsid w:val="00C655A6"/>
    <w:rsid w:val="00C657C8"/>
    <w:rsid w:val="00C666AB"/>
    <w:rsid w:val="00C7001F"/>
    <w:rsid w:val="00C707B2"/>
    <w:rsid w:val="00C7093E"/>
    <w:rsid w:val="00C71078"/>
    <w:rsid w:val="00C72072"/>
    <w:rsid w:val="00C724FD"/>
    <w:rsid w:val="00C73F02"/>
    <w:rsid w:val="00C748E1"/>
    <w:rsid w:val="00C760AC"/>
    <w:rsid w:val="00C80131"/>
    <w:rsid w:val="00C804C5"/>
    <w:rsid w:val="00C807BD"/>
    <w:rsid w:val="00C80F14"/>
    <w:rsid w:val="00C811FA"/>
    <w:rsid w:val="00C817C4"/>
    <w:rsid w:val="00C81961"/>
    <w:rsid w:val="00C824ED"/>
    <w:rsid w:val="00C829A2"/>
    <w:rsid w:val="00C847A4"/>
    <w:rsid w:val="00C84D2A"/>
    <w:rsid w:val="00C86FAE"/>
    <w:rsid w:val="00C87C26"/>
    <w:rsid w:val="00C925FF"/>
    <w:rsid w:val="00C93978"/>
    <w:rsid w:val="00C9647E"/>
    <w:rsid w:val="00C96EBD"/>
    <w:rsid w:val="00C97008"/>
    <w:rsid w:val="00C97B55"/>
    <w:rsid w:val="00CA0CB6"/>
    <w:rsid w:val="00CA137C"/>
    <w:rsid w:val="00CA1773"/>
    <w:rsid w:val="00CA181E"/>
    <w:rsid w:val="00CA2885"/>
    <w:rsid w:val="00CA2F9B"/>
    <w:rsid w:val="00CA426F"/>
    <w:rsid w:val="00CA4EE8"/>
    <w:rsid w:val="00CA5360"/>
    <w:rsid w:val="00CA6FC9"/>
    <w:rsid w:val="00CB0ACE"/>
    <w:rsid w:val="00CB0CC1"/>
    <w:rsid w:val="00CB0E25"/>
    <w:rsid w:val="00CB1485"/>
    <w:rsid w:val="00CB14DF"/>
    <w:rsid w:val="00CB163B"/>
    <w:rsid w:val="00CB2950"/>
    <w:rsid w:val="00CB2D82"/>
    <w:rsid w:val="00CB3412"/>
    <w:rsid w:val="00CB3ED6"/>
    <w:rsid w:val="00CC0B85"/>
    <w:rsid w:val="00CC1866"/>
    <w:rsid w:val="00CC20BC"/>
    <w:rsid w:val="00CC2DB0"/>
    <w:rsid w:val="00CC359B"/>
    <w:rsid w:val="00CC3F2A"/>
    <w:rsid w:val="00CC43ED"/>
    <w:rsid w:val="00CC4648"/>
    <w:rsid w:val="00CC4A8B"/>
    <w:rsid w:val="00CC4B23"/>
    <w:rsid w:val="00CC4E5B"/>
    <w:rsid w:val="00CC52D4"/>
    <w:rsid w:val="00CC5D7F"/>
    <w:rsid w:val="00CC7EE7"/>
    <w:rsid w:val="00CD0A76"/>
    <w:rsid w:val="00CD0F1D"/>
    <w:rsid w:val="00CD10E2"/>
    <w:rsid w:val="00CD1BD5"/>
    <w:rsid w:val="00CD2488"/>
    <w:rsid w:val="00CD2B0D"/>
    <w:rsid w:val="00CD2B54"/>
    <w:rsid w:val="00CD2F8B"/>
    <w:rsid w:val="00CD438C"/>
    <w:rsid w:val="00CD605D"/>
    <w:rsid w:val="00CD6554"/>
    <w:rsid w:val="00CD6C8A"/>
    <w:rsid w:val="00CD7EB4"/>
    <w:rsid w:val="00CE0648"/>
    <w:rsid w:val="00CE207A"/>
    <w:rsid w:val="00CE2985"/>
    <w:rsid w:val="00CE2EA4"/>
    <w:rsid w:val="00CF076C"/>
    <w:rsid w:val="00CF09BA"/>
    <w:rsid w:val="00CF1337"/>
    <w:rsid w:val="00CF2640"/>
    <w:rsid w:val="00CF283E"/>
    <w:rsid w:val="00CF3901"/>
    <w:rsid w:val="00CF3F34"/>
    <w:rsid w:val="00CF5544"/>
    <w:rsid w:val="00CF5BFA"/>
    <w:rsid w:val="00CF7222"/>
    <w:rsid w:val="00CF7735"/>
    <w:rsid w:val="00CF7894"/>
    <w:rsid w:val="00CF7FCA"/>
    <w:rsid w:val="00D01045"/>
    <w:rsid w:val="00D010A2"/>
    <w:rsid w:val="00D045EF"/>
    <w:rsid w:val="00D04BD5"/>
    <w:rsid w:val="00D04EAF"/>
    <w:rsid w:val="00D0522A"/>
    <w:rsid w:val="00D06C0F"/>
    <w:rsid w:val="00D06ECD"/>
    <w:rsid w:val="00D076DD"/>
    <w:rsid w:val="00D07F69"/>
    <w:rsid w:val="00D110E5"/>
    <w:rsid w:val="00D11815"/>
    <w:rsid w:val="00D126A0"/>
    <w:rsid w:val="00D12761"/>
    <w:rsid w:val="00D14271"/>
    <w:rsid w:val="00D148B3"/>
    <w:rsid w:val="00D15116"/>
    <w:rsid w:val="00D15810"/>
    <w:rsid w:val="00D16656"/>
    <w:rsid w:val="00D16EE8"/>
    <w:rsid w:val="00D17655"/>
    <w:rsid w:val="00D17FFA"/>
    <w:rsid w:val="00D2244C"/>
    <w:rsid w:val="00D23E93"/>
    <w:rsid w:val="00D24047"/>
    <w:rsid w:val="00D25E59"/>
    <w:rsid w:val="00D27F2F"/>
    <w:rsid w:val="00D27F7A"/>
    <w:rsid w:val="00D30EB3"/>
    <w:rsid w:val="00D316D6"/>
    <w:rsid w:val="00D3182C"/>
    <w:rsid w:val="00D328CD"/>
    <w:rsid w:val="00D3388D"/>
    <w:rsid w:val="00D3453B"/>
    <w:rsid w:val="00D34CDF"/>
    <w:rsid w:val="00D360CE"/>
    <w:rsid w:val="00D3720A"/>
    <w:rsid w:val="00D37538"/>
    <w:rsid w:val="00D37987"/>
    <w:rsid w:val="00D37F15"/>
    <w:rsid w:val="00D4129B"/>
    <w:rsid w:val="00D413C2"/>
    <w:rsid w:val="00D41D9C"/>
    <w:rsid w:val="00D4243F"/>
    <w:rsid w:val="00D42AC6"/>
    <w:rsid w:val="00D4302E"/>
    <w:rsid w:val="00D43893"/>
    <w:rsid w:val="00D4394E"/>
    <w:rsid w:val="00D43C57"/>
    <w:rsid w:val="00D43F6D"/>
    <w:rsid w:val="00D4422F"/>
    <w:rsid w:val="00D44FE5"/>
    <w:rsid w:val="00D45240"/>
    <w:rsid w:val="00D45EA2"/>
    <w:rsid w:val="00D47274"/>
    <w:rsid w:val="00D50D7C"/>
    <w:rsid w:val="00D520AD"/>
    <w:rsid w:val="00D52684"/>
    <w:rsid w:val="00D543BF"/>
    <w:rsid w:val="00D546C9"/>
    <w:rsid w:val="00D548D1"/>
    <w:rsid w:val="00D55436"/>
    <w:rsid w:val="00D57BBE"/>
    <w:rsid w:val="00D6094B"/>
    <w:rsid w:val="00D615E1"/>
    <w:rsid w:val="00D615F3"/>
    <w:rsid w:val="00D61947"/>
    <w:rsid w:val="00D61A3F"/>
    <w:rsid w:val="00D61E78"/>
    <w:rsid w:val="00D6241D"/>
    <w:rsid w:val="00D63CD7"/>
    <w:rsid w:val="00D64AEE"/>
    <w:rsid w:val="00D650EE"/>
    <w:rsid w:val="00D657FE"/>
    <w:rsid w:val="00D66932"/>
    <w:rsid w:val="00D67BD1"/>
    <w:rsid w:val="00D7116D"/>
    <w:rsid w:val="00D71E36"/>
    <w:rsid w:val="00D7289C"/>
    <w:rsid w:val="00D72F45"/>
    <w:rsid w:val="00D737BC"/>
    <w:rsid w:val="00D7393E"/>
    <w:rsid w:val="00D76792"/>
    <w:rsid w:val="00D76F39"/>
    <w:rsid w:val="00D77335"/>
    <w:rsid w:val="00D779F3"/>
    <w:rsid w:val="00D77A54"/>
    <w:rsid w:val="00D8044F"/>
    <w:rsid w:val="00D813B1"/>
    <w:rsid w:val="00D83694"/>
    <w:rsid w:val="00D83EB9"/>
    <w:rsid w:val="00D860A9"/>
    <w:rsid w:val="00D8733E"/>
    <w:rsid w:val="00D9040A"/>
    <w:rsid w:val="00D904BF"/>
    <w:rsid w:val="00D90BA5"/>
    <w:rsid w:val="00D90F97"/>
    <w:rsid w:val="00D9177E"/>
    <w:rsid w:val="00D93A3A"/>
    <w:rsid w:val="00D94A2F"/>
    <w:rsid w:val="00D96921"/>
    <w:rsid w:val="00D96989"/>
    <w:rsid w:val="00D977D0"/>
    <w:rsid w:val="00DA030D"/>
    <w:rsid w:val="00DA0AA3"/>
    <w:rsid w:val="00DA19A2"/>
    <w:rsid w:val="00DA1F6F"/>
    <w:rsid w:val="00DA2219"/>
    <w:rsid w:val="00DA2B26"/>
    <w:rsid w:val="00DA37D1"/>
    <w:rsid w:val="00DA52CA"/>
    <w:rsid w:val="00DA69F1"/>
    <w:rsid w:val="00DB034D"/>
    <w:rsid w:val="00DB0527"/>
    <w:rsid w:val="00DB1051"/>
    <w:rsid w:val="00DB273D"/>
    <w:rsid w:val="00DB34F9"/>
    <w:rsid w:val="00DB3A1A"/>
    <w:rsid w:val="00DB3D20"/>
    <w:rsid w:val="00DB3FE0"/>
    <w:rsid w:val="00DB4377"/>
    <w:rsid w:val="00DB4AF6"/>
    <w:rsid w:val="00DB4CBE"/>
    <w:rsid w:val="00DB5F22"/>
    <w:rsid w:val="00DB667E"/>
    <w:rsid w:val="00DB6855"/>
    <w:rsid w:val="00DC0368"/>
    <w:rsid w:val="00DC0580"/>
    <w:rsid w:val="00DC0DF9"/>
    <w:rsid w:val="00DC105A"/>
    <w:rsid w:val="00DC245B"/>
    <w:rsid w:val="00DC30CC"/>
    <w:rsid w:val="00DC3EE9"/>
    <w:rsid w:val="00DC7BBD"/>
    <w:rsid w:val="00DD0B37"/>
    <w:rsid w:val="00DD270D"/>
    <w:rsid w:val="00DD2CB2"/>
    <w:rsid w:val="00DD308C"/>
    <w:rsid w:val="00DD3590"/>
    <w:rsid w:val="00DD46EB"/>
    <w:rsid w:val="00DD552C"/>
    <w:rsid w:val="00DD5A12"/>
    <w:rsid w:val="00DD5EB1"/>
    <w:rsid w:val="00DD5F17"/>
    <w:rsid w:val="00DD6E63"/>
    <w:rsid w:val="00DD75C7"/>
    <w:rsid w:val="00DE020F"/>
    <w:rsid w:val="00DE06EA"/>
    <w:rsid w:val="00DE181B"/>
    <w:rsid w:val="00DE2620"/>
    <w:rsid w:val="00DE2CDE"/>
    <w:rsid w:val="00DE350C"/>
    <w:rsid w:val="00DE376B"/>
    <w:rsid w:val="00DE39C7"/>
    <w:rsid w:val="00DE58D3"/>
    <w:rsid w:val="00DE6AD8"/>
    <w:rsid w:val="00DE7CEF"/>
    <w:rsid w:val="00DF054C"/>
    <w:rsid w:val="00DF132B"/>
    <w:rsid w:val="00DF3B04"/>
    <w:rsid w:val="00DF56B9"/>
    <w:rsid w:val="00DF5B4D"/>
    <w:rsid w:val="00DF691B"/>
    <w:rsid w:val="00DF6B53"/>
    <w:rsid w:val="00DF7C7C"/>
    <w:rsid w:val="00E014F3"/>
    <w:rsid w:val="00E02240"/>
    <w:rsid w:val="00E03094"/>
    <w:rsid w:val="00E0370C"/>
    <w:rsid w:val="00E0402C"/>
    <w:rsid w:val="00E0412E"/>
    <w:rsid w:val="00E048D4"/>
    <w:rsid w:val="00E04C7D"/>
    <w:rsid w:val="00E04C83"/>
    <w:rsid w:val="00E055D4"/>
    <w:rsid w:val="00E05D99"/>
    <w:rsid w:val="00E06764"/>
    <w:rsid w:val="00E0776C"/>
    <w:rsid w:val="00E10038"/>
    <w:rsid w:val="00E10B17"/>
    <w:rsid w:val="00E14664"/>
    <w:rsid w:val="00E15C0D"/>
    <w:rsid w:val="00E15D50"/>
    <w:rsid w:val="00E161CB"/>
    <w:rsid w:val="00E20320"/>
    <w:rsid w:val="00E20F99"/>
    <w:rsid w:val="00E22144"/>
    <w:rsid w:val="00E23135"/>
    <w:rsid w:val="00E24422"/>
    <w:rsid w:val="00E24B4D"/>
    <w:rsid w:val="00E25D15"/>
    <w:rsid w:val="00E271E0"/>
    <w:rsid w:val="00E3055A"/>
    <w:rsid w:val="00E324E2"/>
    <w:rsid w:val="00E332EF"/>
    <w:rsid w:val="00E338D6"/>
    <w:rsid w:val="00E33B3D"/>
    <w:rsid w:val="00E33FCF"/>
    <w:rsid w:val="00E3488C"/>
    <w:rsid w:val="00E35750"/>
    <w:rsid w:val="00E36197"/>
    <w:rsid w:val="00E36F74"/>
    <w:rsid w:val="00E37FBE"/>
    <w:rsid w:val="00E40683"/>
    <w:rsid w:val="00E40CBA"/>
    <w:rsid w:val="00E40D55"/>
    <w:rsid w:val="00E41C17"/>
    <w:rsid w:val="00E41EB5"/>
    <w:rsid w:val="00E42039"/>
    <w:rsid w:val="00E421B3"/>
    <w:rsid w:val="00E44988"/>
    <w:rsid w:val="00E50321"/>
    <w:rsid w:val="00E51D35"/>
    <w:rsid w:val="00E51FAD"/>
    <w:rsid w:val="00E533DC"/>
    <w:rsid w:val="00E549B0"/>
    <w:rsid w:val="00E54A2D"/>
    <w:rsid w:val="00E55A13"/>
    <w:rsid w:val="00E57755"/>
    <w:rsid w:val="00E60850"/>
    <w:rsid w:val="00E60F72"/>
    <w:rsid w:val="00E62ABB"/>
    <w:rsid w:val="00E642DE"/>
    <w:rsid w:val="00E66111"/>
    <w:rsid w:val="00E66341"/>
    <w:rsid w:val="00E66A42"/>
    <w:rsid w:val="00E72F41"/>
    <w:rsid w:val="00E72FBB"/>
    <w:rsid w:val="00E732D4"/>
    <w:rsid w:val="00E741CA"/>
    <w:rsid w:val="00E74EF8"/>
    <w:rsid w:val="00E7543A"/>
    <w:rsid w:val="00E75BA2"/>
    <w:rsid w:val="00E76171"/>
    <w:rsid w:val="00E828D9"/>
    <w:rsid w:val="00E852FC"/>
    <w:rsid w:val="00E86E50"/>
    <w:rsid w:val="00E92F2E"/>
    <w:rsid w:val="00E94150"/>
    <w:rsid w:val="00E94CED"/>
    <w:rsid w:val="00E95C11"/>
    <w:rsid w:val="00E95E71"/>
    <w:rsid w:val="00E96312"/>
    <w:rsid w:val="00E96F55"/>
    <w:rsid w:val="00EA04A6"/>
    <w:rsid w:val="00EA05FC"/>
    <w:rsid w:val="00EA0A5F"/>
    <w:rsid w:val="00EA0A6E"/>
    <w:rsid w:val="00EA0FF4"/>
    <w:rsid w:val="00EA22B1"/>
    <w:rsid w:val="00EA27ED"/>
    <w:rsid w:val="00EA30F6"/>
    <w:rsid w:val="00EA3E4D"/>
    <w:rsid w:val="00EA462A"/>
    <w:rsid w:val="00EA4DE1"/>
    <w:rsid w:val="00EA4E03"/>
    <w:rsid w:val="00EA51DC"/>
    <w:rsid w:val="00EA619D"/>
    <w:rsid w:val="00EA6771"/>
    <w:rsid w:val="00EA7C54"/>
    <w:rsid w:val="00EB1645"/>
    <w:rsid w:val="00EB17BB"/>
    <w:rsid w:val="00EB2923"/>
    <w:rsid w:val="00EB2AA4"/>
    <w:rsid w:val="00EB33DC"/>
    <w:rsid w:val="00EB3DEF"/>
    <w:rsid w:val="00EB4C9F"/>
    <w:rsid w:val="00EB64D2"/>
    <w:rsid w:val="00EC0815"/>
    <w:rsid w:val="00EC0E49"/>
    <w:rsid w:val="00EC11DD"/>
    <w:rsid w:val="00EC3DF7"/>
    <w:rsid w:val="00EC5E9D"/>
    <w:rsid w:val="00EC72EF"/>
    <w:rsid w:val="00EC77C7"/>
    <w:rsid w:val="00ED0E5F"/>
    <w:rsid w:val="00ED1A3D"/>
    <w:rsid w:val="00ED4567"/>
    <w:rsid w:val="00ED5091"/>
    <w:rsid w:val="00EE0A82"/>
    <w:rsid w:val="00EE0AA1"/>
    <w:rsid w:val="00EE13F9"/>
    <w:rsid w:val="00EE26A3"/>
    <w:rsid w:val="00EE43C2"/>
    <w:rsid w:val="00EE461E"/>
    <w:rsid w:val="00EE4E2E"/>
    <w:rsid w:val="00EE563E"/>
    <w:rsid w:val="00EE5AB6"/>
    <w:rsid w:val="00EE63DB"/>
    <w:rsid w:val="00EE6720"/>
    <w:rsid w:val="00EF2384"/>
    <w:rsid w:val="00EF3671"/>
    <w:rsid w:val="00EF3C03"/>
    <w:rsid w:val="00EF4712"/>
    <w:rsid w:val="00EF518F"/>
    <w:rsid w:val="00EF600C"/>
    <w:rsid w:val="00EF6488"/>
    <w:rsid w:val="00EF6CC9"/>
    <w:rsid w:val="00F00CE3"/>
    <w:rsid w:val="00F016C8"/>
    <w:rsid w:val="00F02652"/>
    <w:rsid w:val="00F02B42"/>
    <w:rsid w:val="00F0320A"/>
    <w:rsid w:val="00F049DB"/>
    <w:rsid w:val="00F05B9D"/>
    <w:rsid w:val="00F07541"/>
    <w:rsid w:val="00F0756B"/>
    <w:rsid w:val="00F10581"/>
    <w:rsid w:val="00F10E91"/>
    <w:rsid w:val="00F113E3"/>
    <w:rsid w:val="00F128F3"/>
    <w:rsid w:val="00F1333A"/>
    <w:rsid w:val="00F13351"/>
    <w:rsid w:val="00F1454C"/>
    <w:rsid w:val="00F15044"/>
    <w:rsid w:val="00F152E7"/>
    <w:rsid w:val="00F1550B"/>
    <w:rsid w:val="00F160CD"/>
    <w:rsid w:val="00F16B59"/>
    <w:rsid w:val="00F177A1"/>
    <w:rsid w:val="00F220A1"/>
    <w:rsid w:val="00F24D26"/>
    <w:rsid w:val="00F2514D"/>
    <w:rsid w:val="00F30CBC"/>
    <w:rsid w:val="00F310F6"/>
    <w:rsid w:val="00F311C5"/>
    <w:rsid w:val="00F31676"/>
    <w:rsid w:val="00F317FE"/>
    <w:rsid w:val="00F31A38"/>
    <w:rsid w:val="00F3281E"/>
    <w:rsid w:val="00F33841"/>
    <w:rsid w:val="00F33D92"/>
    <w:rsid w:val="00F3523E"/>
    <w:rsid w:val="00F35FB6"/>
    <w:rsid w:val="00F365AA"/>
    <w:rsid w:val="00F36E92"/>
    <w:rsid w:val="00F4385E"/>
    <w:rsid w:val="00F4388B"/>
    <w:rsid w:val="00F448D9"/>
    <w:rsid w:val="00F44C09"/>
    <w:rsid w:val="00F44FE5"/>
    <w:rsid w:val="00F45B2D"/>
    <w:rsid w:val="00F46C2F"/>
    <w:rsid w:val="00F51096"/>
    <w:rsid w:val="00F54090"/>
    <w:rsid w:val="00F547E5"/>
    <w:rsid w:val="00F57793"/>
    <w:rsid w:val="00F61C1F"/>
    <w:rsid w:val="00F6207B"/>
    <w:rsid w:val="00F64EEC"/>
    <w:rsid w:val="00F65117"/>
    <w:rsid w:val="00F6608C"/>
    <w:rsid w:val="00F666A2"/>
    <w:rsid w:val="00F67167"/>
    <w:rsid w:val="00F70273"/>
    <w:rsid w:val="00F710E3"/>
    <w:rsid w:val="00F7479D"/>
    <w:rsid w:val="00F773A7"/>
    <w:rsid w:val="00F77910"/>
    <w:rsid w:val="00F77F95"/>
    <w:rsid w:val="00F81439"/>
    <w:rsid w:val="00F82924"/>
    <w:rsid w:val="00F83706"/>
    <w:rsid w:val="00F83C4D"/>
    <w:rsid w:val="00F84900"/>
    <w:rsid w:val="00F85333"/>
    <w:rsid w:val="00F85D7E"/>
    <w:rsid w:val="00F85E7D"/>
    <w:rsid w:val="00F86B46"/>
    <w:rsid w:val="00F879A0"/>
    <w:rsid w:val="00F92A61"/>
    <w:rsid w:val="00F92C43"/>
    <w:rsid w:val="00F92F82"/>
    <w:rsid w:val="00F944B8"/>
    <w:rsid w:val="00F9549C"/>
    <w:rsid w:val="00F965DF"/>
    <w:rsid w:val="00F96720"/>
    <w:rsid w:val="00F97992"/>
    <w:rsid w:val="00F97E65"/>
    <w:rsid w:val="00FA00D3"/>
    <w:rsid w:val="00FA0142"/>
    <w:rsid w:val="00FA0418"/>
    <w:rsid w:val="00FA1217"/>
    <w:rsid w:val="00FA1F8F"/>
    <w:rsid w:val="00FA26A0"/>
    <w:rsid w:val="00FA3279"/>
    <w:rsid w:val="00FA3402"/>
    <w:rsid w:val="00FA3AF5"/>
    <w:rsid w:val="00FA3BDB"/>
    <w:rsid w:val="00FA5224"/>
    <w:rsid w:val="00FA7339"/>
    <w:rsid w:val="00FA786A"/>
    <w:rsid w:val="00FA7AE9"/>
    <w:rsid w:val="00FA7EEE"/>
    <w:rsid w:val="00FB0025"/>
    <w:rsid w:val="00FB0448"/>
    <w:rsid w:val="00FB0AEC"/>
    <w:rsid w:val="00FB1671"/>
    <w:rsid w:val="00FB1A13"/>
    <w:rsid w:val="00FB1D1F"/>
    <w:rsid w:val="00FB256B"/>
    <w:rsid w:val="00FB26F1"/>
    <w:rsid w:val="00FB37AE"/>
    <w:rsid w:val="00FB530A"/>
    <w:rsid w:val="00FB6B58"/>
    <w:rsid w:val="00FB6C27"/>
    <w:rsid w:val="00FB6C57"/>
    <w:rsid w:val="00FB6CC9"/>
    <w:rsid w:val="00FB708A"/>
    <w:rsid w:val="00FB7275"/>
    <w:rsid w:val="00FC1A18"/>
    <w:rsid w:val="00FC25A4"/>
    <w:rsid w:val="00FC3A0D"/>
    <w:rsid w:val="00FC408F"/>
    <w:rsid w:val="00FC4A90"/>
    <w:rsid w:val="00FC5B5E"/>
    <w:rsid w:val="00FC6B12"/>
    <w:rsid w:val="00FC7A8F"/>
    <w:rsid w:val="00FC7FCF"/>
    <w:rsid w:val="00FD0ECC"/>
    <w:rsid w:val="00FD1845"/>
    <w:rsid w:val="00FD2125"/>
    <w:rsid w:val="00FD3065"/>
    <w:rsid w:val="00FD5BDB"/>
    <w:rsid w:val="00FD6E0B"/>
    <w:rsid w:val="00FD7CE8"/>
    <w:rsid w:val="00FE08CF"/>
    <w:rsid w:val="00FE0BF6"/>
    <w:rsid w:val="00FE0CB5"/>
    <w:rsid w:val="00FE119F"/>
    <w:rsid w:val="00FE1EE3"/>
    <w:rsid w:val="00FE2C3F"/>
    <w:rsid w:val="00FE35A0"/>
    <w:rsid w:val="00FE40A2"/>
    <w:rsid w:val="00FE4A04"/>
    <w:rsid w:val="00FE5DDA"/>
    <w:rsid w:val="00FE6401"/>
    <w:rsid w:val="00FE7212"/>
    <w:rsid w:val="00FE791B"/>
    <w:rsid w:val="00FE7CD2"/>
    <w:rsid w:val="00FF00D7"/>
    <w:rsid w:val="00FF27FD"/>
    <w:rsid w:val="00FF30D0"/>
    <w:rsid w:val="00FF37E2"/>
    <w:rsid w:val="00FF3CA8"/>
    <w:rsid w:val="00FF3E7B"/>
    <w:rsid w:val="00FF47BC"/>
    <w:rsid w:val="00FF4C5F"/>
    <w:rsid w:val="00FF4EA3"/>
    <w:rsid w:val="00FF4ECF"/>
    <w:rsid w:val="00FF57EF"/>
    <w:rsid w:val="00FF5834"/>
    <w:rsid w:val="00FF5D23"/>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9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115"/>
    <w:pPr>
      <w:tabs>
        <w:tab w:val="center" w:pos="4320"/>
        <w:tab w:val="right" w:pos="8640"/>
      </w:tabs>
    </w:pPr>
  </w:style>
  <w:style w:type="paragraph" w:styleId="Footer">
    <w:name w:val="footer"/>
    <w:basedOn w:val="Normal"/>
    <w:rsid w:val="00573115"/>
    <w:pPr>
      <w:tabs>
        <w:tab w:val="center" w:pos="4320"/>
        <w:tab w:val="right" w:pos="8640"/>
      </w:tabs>
    </w:pPr>
  </w:style>
  <w:style w:type="paragraph" w:styleId="BalloonText">
    <w:name w:val="Balloon Text"/>
    <w:basedOn w:val="Normal"/>
    <w:semiHidden/>
    <w:rsid w:val="00573115"/>
    <w:rPr>
      <w:rFonts w:ascii="Tahoma" w:hAnsi="Tahoma" w:cs="Tahoma"/>
      <w:sz w:val="16"/>
      <w:szCs w:val="16"/>
    </w:rPr>
  </w:style>
  <w:style w:type="character" w:styleId="CommentReference">
    <w:name w:val="annotation reference"/>
    <w:semiHidden/>
    <w:rsid w:val="00547F27"/>
    <w:rPr>
      <w:sz w:val="16"/>
      <w:szCs w:val="16"/>
    </w:rPr>
  </w:style>
  <w:style w:type="paragraph" w:styleId="CommentText">
    <w:name w:val="annotation text"/>
    <w:basedOn w:val="Normal"/>
    <w:semiHidden/>
    <w:rsid w:val="00547F27"/>
    <w:rPr>
      <w:sz w:val="20"/>
      <w:szCs w:val="20"/>
    </w:rPr>
  </w:style>
  <w:style w:type="paragraph" w:styleId="CommentSubject">
    <w:name w:val="annotation subject"/>
    <w:basedOn w:val="CommentText"/>
    <w:next w:val="CommentText"/>
    <w:semiHidden/>
    <w:rsid w:val="00547F27"/>
    <w:rPr>
      <w:b/>
      <w:bCs/>
    </w:rPr>
  </w:style>
  <w:style w:type="character" w:styleId="PageNumber">
    <w:name w:val="page number"/>
    <w:basedOn w:val="DefaultParagraphFont"/>
    <w:rsid w:val="00A3129F"/>
  </w:style>
  <w:style w:type="paragraph" w:styleId="Revision">
    <w:name w:val="Revision"/>
    <w:hidden/>
    <w:uiPriority w:val="99"/>
    <w:semiHidden/>
    <w:rsid w:val="00610F7E"/>
    <w:rPr>
      <w:sz w:val="24"/>
      <w:szCs w:val="24"/>
    </w:rPr>
  </w:style>
  <w:style w:type="character" w:styleId="Hyperlink">
    <w:name w:val="Hyperlink"/>
    <w:uiPriority w:val="99"/>
    <w:unhideWhenUsed/>
    <w:rsid w:val="00904F44"/>
    <w:rPr>
      <w:color w:val="0000FF"/>
      <w:u w:val="single"/>
    </w:rPr>
  </w:style>
  <w:style w:type="paragraph" w:styleId="NormalWeb">
    <w:name w:val="Normal (Web)"/>
    <w:basedOn w:val="Normal"/>
    <w:uiPriority w:val="99"/>
    <w:unhideWhenUsed/>
    <w:rsid w:val="00904F44"/>
    <w:pPr>
      <w:spacing w:before="100" w:beforeAutospacing="1" w:after="100" w:afterAutospacing="1"/>
    </w:pPr>
  </w:style>
  <w:style w:type="paragraph" w:customStyle="1" w:styleId="Default">
    <w:name w:val="Default"/>
    <w:rsid w:val="009D75E9"/>
    <w:pPr>
      <w:autoSpaceDE w:val="0"/>
      <w:autoSpaceDN w:val="0"/>
      <w:adjustRightInd w:val="0"/>
    </w:pPr>
    <w:rPr>
      <w:color w:val="000000"/>
      <w:sz w:val="24"/>
      <w:szCs w:val="24"/>
    </w:rPr>
  </w:style>
  <w:style w:type="paragraph" w:styleId="FootnoteText">
    <w:name w:val="footnote text"/>
    <w:basedOn w:val="Normal"/>
    <w:link w:val="FootnoteTextChar"/>
    <w:rsid w:val="00E014F3"/>
    <w:rPr>
      <w:sz w:val="20"/>
      <w:szCs w:val="20"/>
    </w:rPr>
  </w:style>
  <w:style w:type="character" w:customStyle="1" w:styleId="FootnoteTextChar">
    <w:name w:val="Footnote Text Char"/>
    <w:basedOn w:val="DefaultParagraphFont"/>
    <w:link w:val="FootnoteText"/>
    <w:rsid w:val="00E014F3"/>
  </w:style>
  <w:style w:type="character" w:styleId="FootnoteReference">
    <w:name w:val="footnote reference"/>
    <w:rsid w:val="00E014F3"/>
    <w:rPr>
      <w:vertAlign w:val="superscript"/>
    </w:rPr>
  </w:style>
  <w:style w:type="character" w:customStyle="1" w:styleId="apple-converted-space">
    <w:name w:val="apple-converted-space"/>
    <w:rsid w:val="00A75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0252">
      <w:bodyDiv w:val="1"/>
      <w:marLeft w:val="0"/>
      <w:marRight w:val="0"/>
      <w:marTop w:val="0"/>
      <w:marBottom w:val="0"/>
      <w:divBdr>
        <w:top w:val="none" w:sz="0" w:space="0" w:color="auto"/>
        <w:left w:val="none" w:sz="0" w:space="0" w:color="auto"/>
        <w:bottom w:val="none" w:sz="0" w:space="0" w:color="auto"/>
        <w:right w:val="none" w:sz="0" w:space="0" w:color="auto"/>
      </w:divBdr>
      <w:divsChild>
        <w:div w:id="292446743">
          <w:marLeft w:val="0"/>
          <w:marRight w:val="0"/>
          <w:marTop w:val="0"/>
          <w:marBottom w:val="0"/>
          <w:divBdr>
            <w:top w:val="none" w:sz="0" w:space="0" w:color="auto"/>
            <w:left w:val="none" w:sz="0" w:space="0" w:color="auto"/>
            <w:bottom w:val="none" w:sz="0" w:space="0" w:color="auto"/>
            <w:right w:val="none" w:sz="0" w:space="0" w:color="auto"/>
          </w:divBdr>
        </w:div>
        <w:div w:id="676731572">
          <w:marLeft w:val="0"/>
          <w:marRight w:val="0"/>
          <w:marTop w:val="0"/>
          <w:marBottom w:val="0"/>
          <w:divBdr>
            <w:top w:val="none" w:sz="0" w:space="0" w:color="auto"/>
            <w:left w:val="none" w:sz="0" w:space="0" w:color="auto"/>
            <w:bottom w:val="none" w:sz="0" w:space="0" w:color="auto"/>
            <w:right w:val="none" w:sz="0" w:space="0" w:color="auto"/>
          </w:divBdr>
        </w:div>
      </w:divsChild>
    </w:div>
    <w:div w:id="432357744">
      <w:bodyDiv w:val="1"/>
      <w:marLeft w:val="0"/>
      <w:marRight w:val="0"/>
      <w:marTop w:val="0"/>
      <w:marBottom w:val="0"/>
      <w:divBdr>
        <w:top w:val="none" w:sz="0" w:space="0" w:color="auto"/>
        <w:left w:val="none" w:sz="0" w:space="0" w:color="auto"/>
        <w:bottom w:val="none" w:sz="0" w:space="0" w:color="auto"/>
        <w:right w:val="none" w:sz="0" w:space="0" w:color="auto"/>
      </w:divBdr>
    </w:div>
    <w:div w:id="928005837">
      <w:bodyDiv w:val="1"/>
      <w:marLeft w:val="0"/>
      <w:marRight w:val="0"/>
      <w:marTop w:val="0"/>
      <w:marBottom w:val="0"/>
      <w:divBdr>
        <w:top w:val="none" w:sz="0" w:space="0" w:color="auto"/>
        <w:left w:val="none" w:sz="0" w:space="0" w:color="auto"/>
        <w:bottom w:val="none" w:sz="0" w:space="0" w:color="auto"/>
        <w:right w:val="none" w:sz="0" w:space="0" w:color="auto"/>
      </w:divBdr>
    </w:div>
    <w:div w:id="1185437888">
      <w:bodyDiv w:val="1"/>
      <w:marLeft w:val="0"/>
      <w:marRight w:val="0"/>
      <w:marTop w:val="0"/>
      <w:marBottom w:val="0"/>
      <w:divBdr>
        <w:top w:val="none" w:sz="0" w:space="0" w:color="auto"/>
        <w:left w:val="none" w:sz="0" w:space="0" w:color="auto"/>
        <w:bottom w:val="none" w:sz="0" w:space="0" w:color="auto"/>
        <w:right w:val="none" w:sz="0" w:space="0" w:color="auto"/>
      </w:divBdr>
    </w:div>
    <w:div w:id="1243299765">
      <w:bodyDiv w:val="1"/>
      <w:marLeft w:val="0"/>
      <w:marRight w:val="0"/>
      <w:marTop w:val="0"/>
      <w:marBottom w:val="0"/>
      <w:divBdr>
        <w:top w:val="none" w:sz="0" w:space="0" w:color="auto"/>
        <w:left w:val="none" w:sz="0" w:space="0" w:color="auto"/>
        <w:bottom w:val="none" w:sz="0" w:space="0" w:color="auto"/>
        <w:right w:val="none" w:sz="0" w:space="0" w:color="auto"/>
      </w:divBdr>
    </w:div>
    <w:div w:id="1913151786">
      <w:bodyDiv w:val="1"/>
      <w:marLeft w:val="0"/>
      <w:marRight w:val="0"/>
      <w:marTop w:val="0"/>
      <w:marBottom w:val="0"/>
      <w:divBdr>
        <w:top w:val="none" w:sz="0" w:space="0" w:color="auto"/>
        <w:left w:val="none" w:sz="0" w:space="0" w:color="auto"/>
        <w:bottom w:val="none" w:sz="0" w:space="0" w:color="auto"/>
        <w:right w:val="none" w:sz="0" w:space="0" w:color="auto"/>
      </w:divBdr>
      <w:divsChild>
        <w:div w:id="1853840453">
          <w:marLeft w:val="0"/>
          <w:marRight w:val="0"/>
          <w:marTop w:val="0"/>
          <w:marBottom w:val="0"/>
          <w:divBdr>
            <w:top w:val="none" w:sz="0" w:space="0" w:color="auto"/>
            <w:left w:val="none" w:sz="0" w:space="0" w:color="auto"/>
            <w:bottom w:val="none" w:sz="0" w:space="0" w:color="auto"/>
            <w:right w:val="none" w:sz="0" w:space="0" w:color="auto"/>
          </w:divBdr>
          <w:divsChild>
            <w:div w:id="2087533058">
              <w:marLeft w:val="0"/>
              <w:marRight w:val="0"/>
              <w:marTop w:val="0"/>
              <w:marBottom w:val="0"/>
              <w:divBdr>
                <w:top w:val="none" w:sz="0" w:space="0" w:color="auto"/>
                <w:left w:val="none" w:sz="0" w:space="0" w:color="auto"/>
                <w:bottom w:val="none" w:sz="0" w:space="0" w:color="auto"/>
                <w:right w:val="none" w:sz="0" w:space="0" w:color="auto"/>
              </w:divBdr>
              <w:divsChild>
                <w:div w:id="631711393">
                  <w:marLeft w:val="150"/>
                  <w:marRight w:val="150"/>
                  <w:marTop w:val="0"/>
                  <w:marBottom w:val="0"/>
                  <w:divBdr>
                    <w:top w:val="none" w:sz="0" w:space="0" w:color="auto"/>
                    <w:left w:val="none" w:sz="0" w:space="0" w:color="auto"/>
                    <w:bottom w:val="none" w:sz="0" w:space="0" w:color="auto"/>
                    <w:right w:val="none" w:sz="0" w:space="0" w:color="auto"/>
                  </w:divBdr>
                  <w:divsChild>
                    <w:div w:id="1736900869">
                      <w:marLeft w:val="0"/>
                      <w:marRight w:val="0"/>
                      <w:marTop w:val="0"/>
                      <w:marBottom w:val="0"/>
                      <w:divBdr>
                        <w:top w:val="none" w:sz="0" w:space="0" w:color="auto"/>
                        <w:left w:val="none" w:sz="0" w:space="0" w:color="auto"/>
                        <w:bottom w:val="none" w:sz="0" w:space="0" w:color="auto"/>
                        <w:right w:val="none" w:sz="0" w:space="0" w:color="auto"/>
                      </w:divBdr>
                      <w:divsChild>
                        <w:div w:id="37752212">
                          <w:marLeft w:val="0"/>
                          <w:marRight w:val="0"/>
                          <w:marTop w:val="0"/>
                          <w:marBottom w:val="0"/>
                          <w:divBdr>
                            <w:top w:val="none" w:sz="0" w:space="0" w:color="auto"/>
                            <w:left w:val="none" w:sz="0" w:space="0" w:color="auto"/>
                            <w:bottom w:val="none" w:sz="0" w:space="0" w:color="auto"/>
                            <w:right w:val="none" w:sz="0" w:space="0" w:color="auto"/>
                          </w:divBdr>
                          <w:divsChild>
                            <w:div w:id="800465285">
                              <w:marLeft w:val="0"/>
                              <w:marRight w:val="0"/>
                              <w:marTop w:val="0"/>
                              <w:marBottom w:val="0"/>
                              <w:divBdr>
                                <w:top w:val="none" w:sz="0" w:space="0" w:color="auto"/>
                                <w:left w:val="none" w:sz="0" w:space="0" w:color="auto"/>
                                <w:bottom w:val="none" w:sz="0" w:space="0" w:color="auto"/>
                                <w:right w:val="none" w:sz="0" w:space="0" w:color="auto"/>
                              </w:divBdr>
                              <w:divsChild>
                                <w:div w:id="1536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ase_c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0684-B360-4E9F-8D63-E490C847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Water Quality Committee</vt:lpstr>
    </vt:vector>
  </TitlesOfParts>
  <Company>Western States Water Council</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Committee</dc:title>
  <dc:creator>Jeff</dc:creator>
  <cp:lastModifiedBy>Nathan Bracken</cp:lastModifiedBy>
  <cp:revision>2</cp:revision>
  <cp:lastPrinted>2014-07-02T16:34:00Z</cp:lastPrinted>
  <dcterms:created xsi:type="dcterms:W3CDTF">2014-10-01T20:03:00Z</dcterms:created>
  <dcterms:modified xsi:type="dcterms:W3CDTF">2014-10-01T20:03:00Z</dcterms:modified>
</cp:coreProperties>
</file>